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47E" w:rsidP="00BE1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RIIPBP302D Control operations in acid plant</w:t>
      </w:r>
      <w:r>
        <w:fldChar w:fldCharType="end"/>
      </w:r>
    </w:p>
    <w:p w:rsidR="00BE147E" w:rsidP="00BE147E">
      <w:pPr>
        <w:pStyle w:val="Version"/>
        <w:sectPr w:rsidSect="00ED7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78C3" w:rsidP="00ED78C3">
      <w:pPr>
        <w:pStyle w:val="SuperHeading"/>
      </w:pPr>
      <w:r w:rsidRPr="00ED78C3">
        <w:t>Assessment Requirements for RIIPBP302D Control operations in acid plant</w:t>
      </w:r>
    </w:p>
    <w:p w:rsidR="00000000" w:rsidRPr="00ED78C3" w:rsidP="00ED78C3">
      <w:pPr>
        <w:pStyle w:val="Heading1"/>
      </w:pPr>
      <w:bookmarkStart w:id="1" w:name="O_686929"/>
      <w:bookmarkEnd w:id="1"/>
      <w:r w:rsidRPr="00ED78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E14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8C3">
            <w:pPr>
              <w:pStyle w:val="Heading4"/>
              <w:rPr>
                <w:lang w:val="en-NZ"/>
              </w:rPr>
            </w:pPr>
            <w:r w:rsidRPr="00ED78C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8C3">
            <w:pPr>
              <w:pStyle w:val="Heading4"/>
              <w:rPr>
                <w:lang w:val="en-NZ"/>
              </w:rPr>
            </w:pPr>
            <w:r w:rsidRPr="00ED78C3">
              <w:t>Comment</w:t>
            </w:r>
          </w:p>
        </w:tc>
      </w:tr>
      <w:tr w:rsidTr="00BE14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This unit replaces RIIPBP302A Control operations in acid plant</w:t>
            </w:r>
          </w:p>
        </w:tc>
      </w:tr>
      <w:tr w:rsidTr="00BE14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8C3" w:rsidP="00ED78C3">
            <w:pPr>
              <w:pStyle w:val="BodyText"/>
            </w:pPr>
            <w:r w:rsidRPr="00ED78C3">
              <w:t>Required frequency and volume of evidence amended in Performance evidence.</w:t>
            </w:r>
          </w:p>
          <w:p w:rsidR="00000000" w:rsidRPr="00ED78C3" w:rsidP="00ED78C3">
            <w:pPr>
              <w:pStyle w:val="BodyText"/>
            </w:pPr>
            <w:r w:rsidRPr="00ED78C3">
              <w:t>Substantial amendments made in Assessment Conditions field, including: references to Industry Sectors, assessor and subject matter expert experience requirements, how assessment sho</w:t>
            </w:r>
            <w:r w:rsidRPr="00ED78C3">
              <w:t>uld be conducted and what it should confirm.</w:t>
            </w:r>
          </w:p>
        </w:tc>
      </w:tr>
    </w:tbl>
    <w:p w:rsidR="00000000" w:rsidRPr="00ED78C3" w:rsidP="00ED78C3">
      <w:pPr>
        <w:pStyle w:val="BodyText"/>
      </w:pPr>
    </w:p>
    <w:p w:rsidR="00000000" w:rsidRPr="00ED78C3" w:rsidP="00ED78C3">
      <w:pPr>
        <w:pStyle w:val="AllowPageBreak"/>
      </w:pPr>
    </w:p>
    <w:p w:rsidR="00000000" w:rsidRPr="00ED78C3" w:rsidP="00ED78C3">
      <w:pPr>
        <w:pStyle w:val="Heading1"/>
      </w:pPr>
      <w:bookmarkStart w:id="2" w:name="O_686928"/>
      <w:bookmarkEnd w:id="2"/>
      <w:r w:rsidRPr="00ED78C3">
        <w:t>Performance Evidence</w:t>
      </w:r>
    </w:p>
    <w:p w:rsidR="00000000" w:rsidRPr="00ED78C3" w:rsidP="00BE147E">
      <w:pPr>
        <w:pStyle w:val="BodyText"/>
      </w:pPr>
      <w:r w:rsidRPr="00ED78C3">
        <w:t>Evidence is required to be collected that demonstrates a candidate’s competency in this unit. Evidence must be relevant to the roles within this sector’</w:t>
      </w:r>
      <w:r w:rsidRPr="00ED78C3">
        <w:t>s work operations and satisfy all of the requirements of the performance criteria of this unit and include evidence that the candidate:</w:t>
      </w:r>
    </w:p>
    <w:p w:rsidR="00000000" w:rsidRPr="00ED78C3" w:rsidP="00ED78C3">
      <w:pPr>
        <w:pStyle w:val="ListBullet"/>
      </w:pPr>
      <w:r w:rsidRPr="00ED78C3">
        <w:t>locates and applies applicable legislation, documentation, policies and procedures</w:t>
      </w:r>
    </w:p>
    <w:p w:rsidR="00000000" w:rsidRPr="00ED78C3" w:rsidP="00ED78C3">
      <w:pPr>
        <w:pStyle w:val="ListBullet"/>
      </w:pPr>
      <w:r w:rsidRPr="00ED78C3">
        <w:t xml:space="preserve">implements requirements, procedures </w:t>
      </w:r>
      <w:r w:rsidRPr="00ED78C3">
        <w:t>and techniques for the safe, effective control of acid plant operations, including:</w:t>
      </w:r>
    </w:p>
    <w:p w:rsidR="00000000" w:rsidRPr="00ED78C3" w:rsidP="00ED78C3">
      <w:pPr>
        <w:pStyle w:val="ListBullet2"/>
      </w:pPr>
      <w:r w:rsidRPr="00ED78C3">
        <w:t>selecting and using the required hand and power tools</w:t>
      </w:r>
    </w:p>
    <w:p w:rsidR="00000000" w:rsidRPr="00ED78C3" w:rsidP="00ED78C3">
      <w:pPr>
        <w:pStyle w:val="ListBullet2"/>
      </w:pPr>
      <w:r w:rsidRPr="00ED78C3">
        <w:t>handle dangerous materials</w:t>
      </w:r>
    </w:p>
    <w:p w:rsidR="00000000" w:rsidRPr="00ED78C3" w:rsidP="00ED78C3">
      <w:pPr>
        <w:pStyle w:val="ListBullet2"/>
      </w:pPr>
      <w:r w:rsidRPr="00ED78C3">
        <w:t>read and interpret instrumentation</w:t>
      </w:r>
    </w:p>
    <w:p w:rsidR="00000000" w:rsidRPr="00ED78C3" w:rsidP="00ED78C3">
      <w:pPr>
        <w:pStyle w:val="ListBullet2"/>
      </w:pPr>
      <w:r w:rsidRPr="00ED78C3">
        <w:t>operate lift equipment (manual, cranes and loads)</w:t>
      </w:r>
    </w:p>
    <w:p w:rsidR="00000000" w:rsidRPr="00ED78C3" w:rsidP="00ED78C3">
      <w:pPr>
        <w:pStyle w:val="ListBullet"/>
      </w:pPr>
      <w:r w:rsidRPr="00ED78C3">
        <w:t>works with others to undertake and complete the control of acid plant operations that meets all of the required outcomes including:</w:t>
      </w:r>
    </w:p>
    <w:p w:rsidR="00000000" w:rsidRPr="00ED78C3" w:rsidP="00ED78C3">
      <w:pPr>
        <w:pStyle w:val="ListBullet2"/>
      </w:pPr>
      <w:r w:rsidRPr="00ED78C3">
        <w:t>using a range of communications techniques and equipment to convey information to others</w:t>
      </w:r>
    </w:p>
    <w:p w:rsidR="00000000" w:rsidRPr="00ED78C3" w:rsidP="00ED78C3">
      <w:pPr>
        <w:pStyle w:val="ListBullet2"/>
      </w:pPr>
      <w:r w:rsidRPr="00ED78C3">
        <w:t>maintaining written and verbal rep</w:t>
      </w:r>
      <w:r w:rsidRPr="00ED78C3">
        <w:t>orting requirements and procedures</w:t>
      </w:r>
    </w:p>
    <w:p w:rsidR="00000000" w:rsidRPr="00ED78C3" w:rsidP="00ED78C3">
      <w:pPr>
        <w:pStyle w:val="ListBullet2"/>
      </w:pPr>
      <w:r w:rsidRPr="00ED78C3">
        <w:t>communicating to confirm work/plans/specifications</w:t>
      </w:r>
    </w:p>
    <w:p w:rsidR="00000000" w:rsidRPr="00ED78C3" w:rsidP="00ED78C3">
      <w:pPr>
        <w:pStyle w:val="ListBullet2"/>
      </w:pPr>
      <w:r w:rsidRPr="00ED78C3">
        <w:t>passing on end of shift information</w:t>
      </w:r>
    </w:p>
    <w:p w:rsidR="00000000" w:rsidRPr="00ED78C3" w:rsidP="00ED78C3">
      <w:pPr>
        <w:pStyle w:val="ListBullet2"/>
      </w:pPr>
      <w:r w:rsidRPr="00ED78C3">
        <w:t xml:space="preserve">reviewing plant performance with oncoming shift </w:t>
      </w:r>
    </w:p>
    <w:p w:rsidR="00000000" w:rsidRPr="00ED78C3" w:rsidP="00ED78C3">
      <w:pPr>
        <w:pStyle w:val="ListBullet"/>
      </w:pPr>
      <w:r w:rsidRPr="00ED78C3">
        <w:t>demonstrates completion of the control of acid plant operations that safely, effecti</w:t>
      </w:r>
      <w:r w:rsidRPr="00ED78C3">
        <w:t>vely and efficiently meets all of the required outcomes on more than one (1) occasion including:</w:t>
      </w:r>
    </w:p>
    <w:p w:rsidR="00000000" w:rsidRPr="00ED78C3" w:rsidP="00ED78C3">
      <w:pPr>
        <w:pStyle w:val="ListBullet2"/>
      </w:pPr>
      <w:r w:rsidRPr="00ED78C3">
        <w:t>regulating the heat exchanger</w:t>
      </w:r>
    </w:p>
    <w:p w:rsidR="00000000" w:rsidRPr="00ED78C3" w:rsidP="00ED78C3">
      <w:pPr>
        <w:pStyle w:val="ListBullet2"/>
      </w:pPr>
      <w:r w:rsidRPr="00ED78C3">
        <w:t>monitoring and adjusting volume of gas</w:t>
      </w:r>
    </w:p>
    <w:p w:rsidR="00000000" w:rsidRPr="00ED78C3" w:rsidP="00ED78C3">
      <w:pPr>
        <w:pStyle w:val="ListBullet2"/>
      </w:pPr>
      <w:r w:rsidRPr="00ED78C3">
        <w:t>regulating gas impurity removal system</w:t>
      </w:r>
    </w:p>
    <w:p w:rsidR="00000000" w:rsidRPr="00ED78C3" w:rsidP="00ED78C3">
      <w:pPr>
        <w:pStyle w:val="ListBullet2"/>
      </w:pPr>
      <w:r w:rsidRPr="00ED78C3">
        <w:t>monitor storage capacity</w:t>
      </w:r>
    </w:p>
    <w:p w:rsidR="00000000" w:rsidRPr="00ED78C3" w:rsidP="00ED78C3">
      <w:pPr>
        <w:pStyle w:val="ListBullet2"/>
      </w:pPr>
      <w:r w:rsidRPr="00ED78C3">
        <w:t>regulating by-product dis</w:t>
      </w:r>
      <w:r w:rsidRPr="00ED78C3">
        <w:t>posal</w:t>
      </w:r>
    </w:p>
    <w:p w:rsidR="00000000" w:rsidRPr="00ED78C3" w:rsidP="00ED78C3">
      <w:pPr>
        <w:pStyle w:val="AllowPageBreak"/>
      </w:pPr>
    </w:p>
    <w:p w:rsidR="00000000" w:rsidRPr="00ED78C3" w:rsidP="00ED78C3">
      <w:pPr>
        <w:pStyle w:val="Heading1"/>
      </w:pPr>
      <w:bookmarkStart w:id="3" w:name="O_686926"/>
      <w:bookmarkEnd w:id="3"/>
      <w:r w:rsidRPr="00ED78C3">
        <w:t>Knowledge Evidence</w:t>
      </w:r>
    </w:p>
    <w:p w:rsidR="00000000" w:rsidRPr="00ED78C3" w:rsidP="00BE147E">
      <w:pPr>
        <w:pStyle w:val="BodyText"/>
      </w:pPr>
      <w:r w:rsidRPr="00ED78C3">
        <w:t>The candidate must demonstrate knowledge of controlling acid plant operations through:</w:t>
      </w:r>
    </w:p>
    <w:p w:rsidR="00000000" w:rsidRPr="00ED78C3" w:rsidP="00ED78C3">
      <w:pPr>
        <w:pStyle w:val="ListBullet"/>
      </w:pPr>
      <w:r w:rsidRPr="00ED78C3">
        <w:t>applying legislative, organisation and site requirements and procedures for:</w:t>
      </w:r>
    </w:p>
    <w:p w:rsidR="00000000" w:rsidRPr="00ED78C3" w:rsidP="00ED78C3">
      <w:pPr>
        <w:pStyle w:val="ListBullet2"/>
      </w:pPr>
      <w:r w:rsidRPr="00ED78C3">
        <w:t>risk assessment and management</w:t>
      </w:r>
    </w:p>
    <w:p w:rsidR="00000000" w:rsidRPr="00ED78C3" w:rsidP="00ED78C3">
      <w:pPr>
        <w:pStyle w:val="ListBullet2"/>
      </w:pPr>
      <w:r w:rsidRPr="00ED78C3">
        <w:t>statutory compliance</w:t>
      </w:r>
    </w:p>
    <w:p w:rsidR="00000000" w:rsidRPr="00ED78C3" w:rsidP="00ED78C3">
      <w:pPr>
        <w:pStyle w:val="ListBullet2"/>
      </w:pPr>
      <w:r w:rsidRPr="00ED78C3">
        <w:t xml:space="preserve">work health and safety </w:t>
      </w:r>
    </w:p>
    <w:p w:rsidR="00000000" w:rsidRPr="00ED78C3" w:rsidP="00ED78C3">
      <w:pPr>
        <w:pStyle w:val="ListBullet2"/>
      </w:pPr>
      <w:r w:rsidRPr="00ED78C3">
        <w:t xml:space="preserve">confined space entry </w:t>
      </w:r>
    </w:p>
    <w:p w:rsidR="00000000" w:rsidRPr="00ED78C3" w:rsidP="00ED78C3">
      <w:pPr>
        <w:pStyle w:val="ListBullet2"/>
      </w:pPr>
      <w:r w:rsidRPr="00ED78C3">
        <w:t>identifying and handling dangerous materials</w:t>
      </w:r>
    </w:p>
    <w:p w:rsidR="00000000" w:rsidRPr="00ED78C3" w:rsidP="00ED78C3">
      <w:pPr>
        <w:pStyle w:val="ListBullet2"/>
      </w:pPr>
      <w:r w:rsidRPr="00ED78C3">
        <w:t>applying wet and dry working procedures</w:t>
      </w:r>
    </w:p>
    <w:p w:rsidR="00000000" w:rsidRPr="00ED78C3" w:rsidP="00ED78C3">
      <w:pPr>
        <w:pStyle w:val="ListBullet2"/>
      </w:pPr>
      <w:r w:rsidRPr="00ED78C3">
        <w:t>applying site procedures/site safety requirements</w:t>
      </w:r>
    </w:p>
    <w:p w:rsidR="00000000" w:rsidRPr="00ED78C3" w:rsidP="00ED78C3">
      <w:pPr>
        <w:pStyle w:val="ListBullet2"/>
      </w:pPr>
      <w:r w:rsidRPr="00ED78C3">
        <w:t>applying WHS procedures</w:t>
      </w:r>
    </w:p>
    <w:p w:rsidR="00000000" w:rsidRPr="00ED78C3" w:rsidP="00ED78C3">
      <w:pPr>
        <w:pStyle w:val="ListBullet2"/>
      </w:pPr>
      <w:r w:rsidRPr="00ED78C3">
        <w:t>applying operational procedure</w:t>
      </w:r>
      <w:r w:rsidRPr="00ED78C3">
        <w:t>s and checks</w:t>
      </w:r>
    </w:p>
    <w:p w:rsidR="00000000" w:rsidRPr="00ED78C3" w:rsidP="00ED78C3">
      <w:pPr>
        <w:pStyle w:val="ListBullet2"/>
      </w:pPr>
      <w:r w:rsidRPr="00ED78C3">
        <w:t>interpreting equipment safety requirements</w:t>
      </w:r>
    </w:p>
    <w:p w:rsidR="00000000" w:rsidRPr="00ED78C3" w:rsidP="00ED78C3">
      <w:pPr>
        <w:pStyle w:val="ListBullet2"/>
      </w:pPr>
      <w:r w:rsidRPr="00ED78C3">
        <w:t>using hazardous goods procedures and consequences of spills and identifying hazardous goods</w:t>
      </w:r>
    </w:p>
    <w:p w:rsidR="00000000" w:rsidRPr="00ED78C3" w:rsidP="00ED78C3">
      <w:pPr>
        <w:pStyle w:val="ListBullet2"/>
      </w:pPr>
      <w:r w:rsidRPr="00ED78C3">
        <w:t>identifying repair requirements</w:t>
      </w:r>
    </w:p>
    <w:p w:rsidR="00000000" w:rsidRPr="00ED78C3" w:rsidP="00ED78C3">
      <w:pPr>
        <w:pStyle w:val="ListBullet2"/>
      </w:pPr>
      <w:r w:rsidRPr="00ED78C3">
        <w:t>applying isolation procedures</w:t>
      </w:r>
    </w:p>
    <w:p w:rsidR="00000000" w:rsidRPr="00ED78C3" w:rsidP="00ED78C3">
      <w:pPr>
        <w:pStyle w:val="ListBullet2"/>
      </w:pPr>
      <w:r w:rsidRPr="00ED78C3">
        <w:t>applying emergency procedures</w:t>
      </w:r>
    </w:p>
    <w:p w:rsidR="00000000" w:rsidRPr="00ED78C3" w:rsidP="00ED78C3">
      <w:pPr>
        <w:pStyle w:val="ListBullet2"/>
      </w:pPr>
      <w:r w:rsidRPr="00ED78C3">
        <w:t>identifying envi</w:t>
      </w:r>
      <w:r w:rsidRPr="00ED78C3">
        <w:t>ronmental procedures</w:t>
      </w:r>
    </w:p>
    <w:p w:rsidR="00000000" w:rsidRPr="00ED78C3" w:rsidP="00ED78C3">
      <w:pPr>
        <w:pStyle w:val="ListBullet2"/>
      </w:pPr>
      <w:r w:rsidRPr="00ED78C3">
        <w:t>applying breakdown procedures</w:t>
      </w:r>
    </w:p>
    <w:p w:rsidR="00000000" w:rsidRPr="00ED78C3" w:rsidP="00ED78C3">
      <w:pPr>
        <w:pStyle w:val="ListBullet"/>
      </w:pPr>
      <w:r w:rsidRPr="00ED78C3">
        <w:t>reading and interpreting instrumentation/interpret reports</w:t>
      </w:r>
    </w:p>
    <w:p w:rsidR="00000000" w:rsidRPr="00ED78C3" w:rsidP="00ED78C3">
      <w:pPr>
        <w:pStyle w:val="ListBullet"/>
      </w:pPr>
      <w:r w:rsidRPr="00ED78C3">
        <w:t>identifying and diagnosing faults</w:t>
      </w:r>
    </w:p>
    <w:p w:rsidR="00000000" w:rsidRPr="00ED78C3" w:rsidP="00ED78C3">
      <w:pPr>
        <w:pStyle w:val="ListBullet"/>
      </w:pPr>
      <w:r w:rsidRPr="00ED78C3">
        <w:t>using lift (manual, cranes and loads)</w:t>
      </w:r>
    </w:p>
    <w:p w:rsidR="00000000" w:rsidRPr="00ED78C3" w:rsidP="00ED78C3">
      <w:pPr>
        <w:pStyle w:val="ListBullet"/>
      </w:pPr>
      <w:r w:rsidRPr="00ED78C3">
        <w:t>maintaining records</w:t>
      </w:r>
    </w:p>
    <w:p w:rsidR="00000000" w:rsidRPr="00ED78C3" w:rsidP="00ED78C3">
      <w:pPr>
        <w:pStyle w:val="ListBullet"/>
      </w:pPr>
      <w:r w:rsidRPr="00ED78C3">
        <w:t>applying safe work practices</w:t>
      </w:r>
    </w:p>
    <w:p w:rsidR="00000000" w:rsidRPr="00ED78C3" w:rsidP="00ED78C3">
      <w:pPr>
        <w:pStyle w:val="ListBullet"/>
      </w:pPr>
      <w:r w:rsidRPr="00ED78C3">
        <w:t>identifying and using ha</w:t>
      </w:r>
      <w:r w:rsidRPr="00ED78C3">
        <w:t>nd and power tools</w:t>
      </w:r>
    </w:p>
    <w:p w:rsidR="00000000" w:rsidRPr="00ED78C3" w:rsidP="00ED78C3">
      <w:pPr>
        <w:pStyle w:val="ListBullet"/>
      </w:pPr>
      <w:r w:rsidRPr="00ED78C3">
        <w:t>applying contaminant identification</w:t>
      </w:r>
    </w:p>
    <w:p w:rsidR="00000000" w:rsidRPr="00ED78C3" w:rsidP="00ED78C3">
      <w:pPr>
        <w:pStyle w:val="ListBullet"/>
      </w:pPr>
      <w:r w:rsidRPr="00ED78C3">
        <w:t>identifying sources of acid plant materials</w:t>
      </w:r>
    </w:p>
    <w:p w:rsidR="00000000" w:rsidRPr="00ED78C3" w:rsidP="00ED78C3">
      <w:pPr>
        <w:pStyle w:val="ListBullet"/>
      </w:pPr>
      <w:r w:rsidRPr="00ED78C3">
        <w:t>interpreting gas purification process</w:t>
      </w:r>
    </w:p>
    <w:p w:rsidR="00000000" w:rsidRPr="00ED78C3" w:rsidP="00ED78C3">
      <w:pPr>
        <w:pStyle w:val="ListBullet"/>
      </w:pPr>
      <w:r w:rsidRPr="00ED78C3">
        <w:t>interpreting drying process</w:t>
      </w:r>
    </w:p>
    <w:p w:rsidR="00000000" w:rsidRPr="00ED78C3" w:rsidP="00ED78C3">
      <w:pPr>
        <w:pStyle w:val="ListBullet"/>
      </w:pPr>
      <w:r w:rsidRPr="00ED78C3">
        <w:t>applying conversion and absorption</w:t>
      </w:r>
    </w:p>
    <w:p w:rsidR="00000000" w:rsidRPr="00ED78C3" w:rsidP="00ED78C3">
      <w:pPr>
        <w:pStyle w:val="ListBullet"/>
      </w:pPr>
      <w:r w:rsidRPr="00ED78C3">
        <w:t>identifying storage methods and capacities</w:t>
      </w:r>
    </w:p>
    <w:p w:rsidR="00000000" w:rsidRPr="00ED78C3" w:rsidP="00ED78C3">
      <w:pPr>
        <w:pStyle w:val="ListBullet"/>
      </w:pPr>
      <w:r w:rsidRPr="00ED78C3">
        <w:t>equipment limitations and operating parameters</w:t>
      </w:r>
    </w:p>
    <w:p w:rsidR="00000000" w:rsidRPr="00ED78C3" w:rsidP="00ED78C3">
      <w:pPr>
        <w:pStyle w:val="ListBullet"/>
      </w:pPr>
      <w:r w:rsidRPr="00ED78C3">
        <w:t>using technical data (basic)</w:t>
      </w:r>
    </w:p>
    <w:p w:rsidR="00000000" w:rsidRPr="00ED78C3" w:rsidP="00ED78C3">
      <w:pPr>
        <w:pStyle w:val="ListBullet"/>
      </w:pPr>
      <w:r w:rsidRPr="00ED78C3">
        <w:t xml:space="preserve">understanding pumping system </w:t>
      </w:r>
    </w:p>
    <w:p w:rsidR="00000000" w:rsidRPr="00ED78C3" w:rsidP="00ED78C3">
      <w:pPr>
        <w:pStyle w:val="ListBullet"/>
      </w:pPr>
      <w:r w:rsidRPr="00ED78C3">
        <w:t>identifying reagent types</w:t>
      </w:r>
    </w:p>
    <w:p w:rsidR="00000000" w:rsidRPr="00ED78C3" w:rsidP="00ED78C3">
      <w:pPr>
        <w:pStyle w:val="ListBullet"/>
      </w:pPr>
      <w:r w:rsidRPr="00ED78C3">
        <w:t>using sampling</w:t>
      </w:r>
    </w:p>
    <w:p w:rsidR="00000000" w:rsidRPr="00ED78C3" w:rsidP="00ED78C3">
      <w:pPr>
        <w:pStyle w:val="ListBullet"/>
      </w:pPr>
      <w:r w:rsidRPr="00ED78C3">
        <w:t>identifying types of ores (basic)</w:t>
      </w:r>
    </w:p>
    <w:p w:rsidR="00000000" w:rsidRPr="00ED78C3" w:rsidP="00ED78C3">
      <w:pPr>
        <w:pStyle w:val="AllowPageBreak"/>
      </w:pPr>
    </w:p>
    <w:p w:rsidR="00000000" w:rsidRPr="00ED78C3" w:rsidP="00ED78C3">
      <w:pPr>
        <w:pStyle w:val="Heading1"/>
      </w:pPr>
      <w:bookmarkStart w:id="4" w:name="O_686922"/>
      <w:bookmarkEnd w:id="4"/>
      <w:r w:rsidRPr="00ED78C3">
        <w:t>Assessment Conditions</w:t>
      </w:r>
    </w:p>
    <w:p w:rsidR="00000000" w:rsidRPr="00ED78C3" w:rsidP="00ED78C3">
      <w:pPr>
        <w:pStyle w:val="ListBullet"/>
      </w:pPr>
      <w:r w:rsidRPr="00ED78C3">
        <w:t>An assessor of this unit must satis</w:t>
      </w:r>
      <w:r w:rsidRPr="00ED78C3">
        <w:t xml:space="preserve">fy the requirements of the NVR/AQTF or their successors; and Industry regulations for certification and licensing; and, </w:t>
      </w:r>
    </w:p>
    <w:p w:rsidR="00000000" w:rsidRPr="00ED78C3" w:rsidP="00ED78C3">
      <w:pPr>
        <w:pStyle w:val="ListBullet"/>
      </w:pPr>
      <w:r w:rsidRPr="00ED78C3">
        <w:t>this unit must be assessed in the context of this sector’s work environment; and,</w:t>
      </w:r>
    </w:p>
    <w:p w:rsidR="00000000" w:rsidRPr="00ED78C3" w:rsidP="00ED78C3">
      <w:pPr>
        <w:pStyle w:val="ListBullet"/>
      </w:pPr>
      <w:r w:rsidRPr="00ED78C3">
        <w:t>this unit must be assessed in compliance with relevan</w:t>
      </w:r>
      <w:r w:rsidRPr="00ED78C3">
        <w:t>t legislation/regulation and using policies, procedures, processes and operational manuals directly related to the industry sector for which it is being assessed; and,</w:t>
      </w:r>
    </w:p>
    <w:p w:rsidR="00000000" w:rsidRPr="00ED78C3" w:rsidP="00ED78C3">
      <w:pPr>
        <w:pStyle w:val="ListBullet"/>
      </w:pPr>
      <w:r w:rsidRPr="00ED78C3">
        <w:t>assessment may be conducted in conjunction with the assessment of other Units of Compete</w:t>
      </w:r>
      <w:r w:rsidRPr="00ED78C3">
        <w:t>ncy; and,</w:t>
      </w:r>
    </w:p>
    <w:p w:rsidR="00000000" w:rsidRPr="00ED78C3" w:rsidP="00ED78C3">
      <w:pPr>
        <w:pStyle w:val="ListBullet"/>
      </w:pPr>
      <w:r w:rsidRPr="00ED78C3">
        <w:t>assessment must confirm consistent performance can be applied in a range of relevant workplace circumstances; and,</w:t>
      </w:r>
    </w:p>
    <w:p w:rsidR="00000000" w:rsidRPr="00ED78C3" w:rsidP="00ED78C3">
      <w:pPr>
        <w:pStyle w:val="ListBullet"/>
      </w:pPr>
      <w:r w:rsidRPr="00ED78C3">
        <w:t>assessors must demonstrate the performance evidence, and knowledge evidence as outlined in this Unit of Competency, and through the</w:t>
      </w:r>
      <w:r w:rsidRPr="00ED78C3">
        <w:t xml:space="preserve"> minimum years of current* work experience specified below in an Industry sector relevant to the outcomes of the unit; or,</w:t>
      </w:r>
    </w:p>
    <w:p w:rsidR="00000000" w:rsidRPr="00ED78C3" w:rsidP="00ED78C3">
      <w:pPr>
        <w:pStyle w:val="ListBullet"/>
      </w:pPr>
      <w:r w:rsidRPr="00ED78C3">
        <w:t xml:space="preserve">where the assessor does not meet experience requirements a co-assessment or partnership arrangement must exist between the qualified </w:t>
      </w:r>
      <w:r w:rsidRPr="00ED78C3">
        <w:t xml:space="preserve">assessor and an Industry subject matter expert. The Industry subject matter expert should hold the unit being assessed (or an equivalent unit) and/or demonstrate equivalence of skills and knowledge at the unit level. An Industry technical expert must also </w:t>
      </w:r>
      <w:r w:rsidRPr="00ED78C3">
        <w:t>demonstrate skills and knowledge from the minimum years of current work experience specified below in the Industry sector, including time spent in roles related to the unit being assessed; and,</w:t>
      </w:r>
    </w:p>
    <w:p w:rsidR="00000000" w:rsidRPr="00ED78C3" w:rsidP="00ED78C3">
      <w:pPr>
        <w:pStyle w:val="ListBullet"/>
      </w:pPr>
      <w:r w:rsidRPr="00ED78C3">
        <w:t>assessor and Industry subject matter expert requirements diffe</w:t>
      </w:r>
      <w:r w:rsidRPr="00ED78C3">
        <w:t>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D78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SubHeading1"/>
              <w:rPr>
                <w:lang w:val="en-NZ"/>
              </w:rPr>
            </w:pPr>
            <w:r w:rsidRPr="00ED78C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SubHeading1"/>
              <w:rPr>
                <w:lang w:val="en-NZ"/>
              </w:rPr>
            </w:pPr>
            <w:r w:rsidRPr="00ED78C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SubHeading1"/>
              <w:rPr>
                <w:lang w:val="en-NZ"/>
              </w:rPr>
            </w:pPr>
            <w:r w:rsidRPr="00ED78C3">
              <w:t>Required assessor or Industry subject matter expert experience</w:t>
            </w:r>
          </w:p>
        </w:tc>
      </w:tr>
      <w:tr w:rsidTr="00ED78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1 Year</w:t>
            </w:r>
          </w:p>
        </w:tc>
      </w:tr>
      <w:tr w:rsidTr="00ED78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2 Years</w:t>
            </w:r>
          </w:p>
        </w:tc>
      </w:tr>
      <w:tr w:rsidTr="00ED78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3 Years</w:t>
            </w:r>
          </w:p>
        </w:tc>
      </w:tr>
      <w:tr w:rsidTr="00ED78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5 Years</w:t>
            </w:r>
          </w:p>
        </w:tc>
      </w:tr>
      <w:tr w:rsidTr="00ED78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78C3">
            <w:pPr>
              <w:pStyle w:val="BodyText"/>
              <w:rPr>
                <w:lang w:val="en-NZ"/>
              </w:rPr>
            </w:pPr>
            <w:r w:rsidRPr="00ED78C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78C3" w:rsidP="00ED78C3">
            <w:pPr>
              <w:pStyle w:val="BodyText"/>
            </w:pPr>
            <w:r w:rsidRPr="00ED78C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ED78C3">
              <w:t>ndard is specified should comply with any relevant regulation.</w:t>
            </w:r>
          </w:p>
        </w:tc>
      </w:tr>
    </w:tbl>
    <w:p w:rsidR="00000000" w:rsidRPr="00ED78C3" w:rsidP="00BE147E">
      <w:pPr>
        <w:pStyle w:val="BodyText"/>
      </w:pPr>
      <w:r w:rsidRPr="00ED78C3">
        <w:t xml:space="preserve">*Assessors can demonstrate current work experience through employment within Industry in a role relevant to the outcomes of the Unit; or, for external </w:t>
      </w:r>
      <w:r w:rsidRPr="00ED78C3">
        <w:t>assessors this can be demonstrated through exposure to Industry by conducting frequent site assessments across various locations.</w:t>
      </w:r>
    </w:p>
    <w:p w:rsidR="00000000" w:rsidRPr="00ED78C3" w:rsidP="00BE147E">
      <w:pPr>
        <w:pStyle w:val="BodyText"/>
      </w:pPr>
      <w:r w:rsidRPr="00ED78C3">
        <w:t>**Where a unit is being delivered outside of a Qualification the first numeric character in the Unit code should be considered</w:t>
      </w:r>
      <w:r w:rsidRPr="00ED78C3">
        <w:t xml:space="preserve"> to indicate the AQF level</w:t>
      </w:r>
    </w:p>
    <w:p w:rsidR="00000000" w:rsidRPr="00ED78C3" w:rsidP="00ED78C3">
      <w:pPr>
        <w:pStyle w:val="Heading1"/>
      </w:pPr>
      <w:bookmarkStart w:id="5" w:name="O_686946"/>
      <w:bookmarkEnd w:id="5"/>
      <w:r w:rsidRPr="00ED78C3">
        <w:t>Links</w:t>
      </w:r>
    </w:p>
    <w:p w:rsidR="00000000" w:rsidRPr="00ED78C3" w:rsidP="00BE147E">
      <w:pPr>
        <w:pStyle w:val="BodyText"/>
      </w:pPr>
      <w:r w:rsidRPr="00ED78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0BA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D78C3" w:rsidP="00ED78C3"/>
    <w:sectPr w:rsidSect="00ED78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C3" w:rsidRPr="00BE147E" w:rsidP="00BE1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7E" w:rsidP="00ED7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47E" w:rsidP="00ED7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147E" w:rsidP="00ED7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8C3" w:rsidRPr="00BE147E" w:rsidP="00BE1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7E" w:rsidRPr="002D2AF8" w:rsidP="00ED7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RIIPBP302D Control operations in acid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E147E" w:rsidP="00ED7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6E5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E6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06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8C3"/>
  </w:style>
  <w:style w:type="character" w:customStyle="1" w:styleId="Heading1Char">
    <w:name w:val="Heading 1 Char"/>
    <w:basedOn w:val="DefaultParagraphFont"/>
    <w:link w:val="Heading1"/>
    <w:rsid w:val="00ED7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8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D7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8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78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7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ED78C3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ED7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8C3"/>
    <w:rPr>
      <w:b/>
      <w:spacing w:val="0"/>
    </w:rPr>
  </w:style>
  <w:style w:type="paragraph" w:customStyle="1" w:styleId="SuperTitle">
    <w:name w:val="SuperTitle"/>
    <w:basedOn w:val="Title"/>
    <w:rsid w:val="00ED7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7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8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8C3"/>
    <w:rPr>
      <w:i/>
    </w:rPr>
  </w:style>
  <w:style w:type="paragraph" w:styleId="Caption">
    <w:name w:val="caption"/>
    <w:basedOn w:val="BodyText"/>
    <w:next w:val="Normal"/>
    <w:qFormat/>
    <w:rsid w:val="00ED7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8C3"/>
  </w:style>
  <w:style w:type="paragraph" w:styleId="TableofFigures">
    <w:name w:val="table of figures"/>
    <w:basedOn w:val="Normal"/>
    <w:next w:val="Normal"/>
    <w:semiHidden/>
    <w:rsid w:val="00ED7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8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78C3"/>
    <w:rPr>
      <w:rFonts w:ascii="Wingdings" w:hAnsi="Wingdings"/>
    </w:rPr>
  </w:style>
  <w:style w:type="paragraph" w:customStyle="1" w:styleId="TableHeading">
    <w:name w:val="Table Heading"/>
    <w:basedOn w:val="HeadingBase"/>
    <w:rsid w:val="00ED7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8C3"/>
    <w:rPr>
      <w:color w:val="0033CC"/>
      <w:u w:val="none"/>
    </w:rPr>
  </w:style>
  <w:style w:type="paragraph" w:customStyle="1" w:styleId="BodyTextRight">
    <w:name w:val="Body Text Right"/>
    <w:basedOn w:val="BodyText"/>
    <w:rsid w:val="00ED7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8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8C3"/>
    <w:rPr>
      <w:sz w:val="32"/>
    </w:rPr>
  </w:style>
  <w:style w:type="paragraph" w:customStyle="1" w:styleId="HeadingProcedure">
    <w:name w:val="Heading Procedure"/>
    <w:basedOn w:val="HeadingBase"/>
    <w:next w:val="Normal"/>
    <w:rsid w:val="00ED7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8C3"/>
    <w:pPr>
      <w:spacing w:before="60" w:after="60"/>
    </w:pPr>
  </w:style>
  <w:style w:type="paragraph" w:styleId="ListContinue">
    <w:name w:val="List Continue"/>
    <w:basedOn w:val="List"/>
    <w:rsid w:val="00ED78C3"/>
    <w:pPr>
      <w:ind w:firstLine="0"/>
    </w:pPr>
  </w:style>
  <w:style w:type="paragraph" w:customStyle="1" w:styleId="ListNote">
    <w:name w:val="List Note"/>
    <w:basedOn w:val="List"/>
    <w:rsid w:val="00ED7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8C3"/>
    <w:rPr>
      <w:rFonts w:ascii="Courier New" w:hAnsi="Courier New"/>
    </w:rPr>
  </w:style>
  <w:style w:type="paragraph" w:customStyle="1" w:styleId="NoteBullet">
    <w:name w:val="Note Bullet"/>
    <w:basedOn w:val="Note"/>
    <w:rsid w:val="00ED7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8C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ED7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8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8C3"/>
    <w:rPr>
      <w:b/>
      <w:smallCaps/>
    </w:rPr>
  </w:style>
  <w:style w:type="paragraph" w:customStyle="1" w:styleId="TableListNumber">
    <w:name w:val="Table List Number"/>
    <w:basedOn w:val="ListNumber"/>
    <w:rsid w:val="00ED7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8C3"/>
    <w:pPr>
      <w:numPr>
        <w:numId w:val="9"/>
      </w:numPr>
    </w:pPr>
  </w:style>
  <w:style w:type="paragraph" w:customStyle="1" w:styleId="ListAlpha2">
    <w:name w:val="List Alpha 2"/>
    <w:basedOn w:val="List2"/>
    <w:rsid w:val="00ED78C3"/>
    <w:pPr>
      <w:numPr>
        <w:numId w:val="8"/>
      </w:numPr>
    </w:pPr>
  </w:style>
  <w:style w:type="paragraph" w:styleId="List2">
    <w:name w:val="List 2"/>
    <w:basedOn w:val="BodyText"/>
    <w:rsid w:val="00ED7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8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8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78C3"/>
    <w:pPr>
      <w:numPr>
        <w:numId w:val="4"/>
      </w:numPr>
    </w:pPr>
  </w:style>
  <w:style w:type="paragraph" w:styleId="ListContinue2">
    <w:name w:val="List Continue 2"/>
    <w:basedOn w:val="List2"/>
    <w:rsid w:val="00ED78C3"/>
    <w:pPr>
      <w:ind w:firstLine="0"/>
    </w:pPr>
  </w:style>
  <w:style w:type="paragraph" w:styleId="ListContinue3">
    <w:name w:val="List Continue 3"/>
    <w:basedOn w:val="List3"/>
    <w:rsid w:val="00ED78C3"/>
    <w:pPr>
      <w:ind w:left="1021" w:firstLine="0"/>
    </w:pPr>
  </w:style>
  <w:style w:type="paragraph" w:styleId="ListContinue4">
    <w:name w:val="List Continue 4"/>
    <w:basedOn w:val="List4"/>
    <w:rsid w:val="00ED78C3"/>
    <w:pPr>
      <w:ind w:firstLine="0"/>
    </w:pPr>
  </w:style>
  <w:style w:type="paragraph" w:styleId="ListContinue5">
    <w:name w:val="List Continue 5"/>
    <w:basedOn w:val="List5"/>
    <w:rsid w:val="00ED78C3"/>
    <w:pPr>
      <w:ind w:firstLine="0"/>
    </w:pPr>
  </w:style>
  <w:style w:type="paragraph" w:styleId="ListNumber3">
    <w:name w:val="List Number 3"/>
    <w:basedOn w:val="List3"/>
    <w:rsid w:val="00ED78C3"/>
    <w:pPr>
      <w:numPr>
        <w:numId w:val="5"/>
      </w:numPr>
    </w:pPr>
  </w:style>
  <w:style w:type="paragraph" w:styleId="ListNumber4">
    <w:name w:val="List Number 4"/>
    <w:basedOn w:val="List4"/>
    <w:rsid w:val="00ED78C3"/>
    <w:pPr>
      <w:numPr>
        <w:numId w:val="6"/>
      </w:numPr>
    </w:pPr>
  </w:style>
  <w:style w:type="paragraph" w:styleId="ListNumber5">
    <w:name w:val="List Number 5"/>
    <w:basedOn w:val="List5"/>
    <w:rsid w:val="00ED78C3"/>
    <w:pPr>
      <w:numPr>
        <w:numId w:val="7"/>
      </w:numPr>
    </w:pPr>
  </w:style>
  <w:style w:type="paragraph" w:styleId="BlockText">
    <w:name w:val="Block Text"/>
    <w:basedOn w:val="Normal"/>
    <w:rsid w:val="00ED7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8C3"/>
    <w:rPr>
      <w:sz w:val="16"/>
      <w:vertAlign w:val="superscript"/>
    </w:rPr>
  </w:style>
  <w:style w:type="character" w:customStyle="1" w:styleId="Symbols">
    <w:name w:val="Symbols"/>
    <w:basedOn w:val="DefaultParagraphFont"/>
    <w:rsid w:val="00ED78C3"/>
    <w:rPr>
      <w:rFonts w:ascii="Symbol" w:hAnsi="Symbol"/>
    </w:rPr>
  </w:style>
  <w:style w:type="character" w:customStyle="1" w:styleId="MenuOptions">
    <w:name w:val="Menu Options"/>
    <w:basedOn w:val="DefaultParagraphFont"/>
    <w:rsid w:val="00ED7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8C3"/>
    <w:rPr>
      <w:b/>
    </w:rPr>
  </w:style>
  <w:style w:type="character" w:customStyle="1" w:styleId="Underlined">
    <w:name w:val="Underlined"/>
    <w:basedOn w:val="DefaultParagraphFont"/>
    <w:rsid w:val="00ED78C3"/>
    <w:rPr>
      <w:u w:val="single"/>
    </w:rPr>
  </w:style>
  <w:style w:type="paragraph" w:customStyle="1" w:styleId="TableBodyTextRight">
    <w:name w:val="Table Body Text Right"/>
    <w:basedOn w:val="TableBodyText"/>
    <w:rsid w:val="00ED7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8C3"/>
    <w:rPr>
      <w:sz w:val="18"/>
    </w:rPr>
  </w:style>
  <w:style w:type="paragraph" w:customStyle="1" w:styleId="BodySmallRight">
    <w:name w:val="Body Small Right"/>
    <w:basedOn w:val="BodyTextRight"/>
    <w:rsid w:val="00ED78C3"/>
    <w:rPr>
      <w:sz w:val="18"/>
      <w:szCs w:val="18"/>
    </w:rPr>
  </w:style>
  <w:style w:type="paragraph" w:customStyle="1" w:styleId="MarginEdition">
    <w:name w:val="Margin Edition"/>
    <w:basedOn w:val="MarginNote"/>
    <w:rsid w:val="00ED7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8C3"/>
    <w:rPr>
      <w:sz w:val="2"/>
      <w:szCs w:val="2"/>
    </w:rPr>
  </w:style>
  <w:style w:type="character" w:customStyle="1" w:styleId="Small">
    <w:name w:val="Small"/>
    <w:basedOn w:val="DefaultParagraphFont"/>
    <w:rsid w:val="00ED78C3"/>
    <w:rPr>
      <w:sz w:val="16"/>
    </w:rPr>
  </w:style>
  <w:style w:type="paragraph" w:customStyle="1" w:styleId="WideTable">
    <w:name w:val="Wide Table"/>
    <w:basedOn w:val="Normal"/>
    <w:rsid w:val="00ED7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8C3"/>
  </w:style>
  <w:style w:type="paragraph" w:styleId="Quote">
    <w:name w:val="Quote"/>
    <w:basedOn w:val="Heading1"/>
    <w:link w:val="QuoteChar"/>
    <w:qFormat/>
    <w:rsid w:val="00ED7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8C3"/>
    <w:pPr>
      <w:pageBreakBefore/>
    </w:pPr>
  </w:style>
  <w:style w:type="paragraph" w:customStyle="1" w:styleId="Border">
    <w:name w:val="Border"/>
    <w:basedOn w:val="Normal"/>
    <w:qFormat/>
    <w:rsid w:val="00ED7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8C3"/>
    <w:rPr>
      <w:u w:val="single"/>
    </w:rPr>
  </w:style>
  <w:style w:type="character" w:customStyle="1" w:styleId="BoldandItalics">
    <w:name w:val="Bold and Italics"/>
    <w:qFormat/>
    <w:rsid w:val="00ED78C3"/>
    <w:rPr>
      <w:b/>
      <w:i/>
      <w:u w:val="none"/>
    </w:rPr>
  </w:style>
  <w:style w:type="paragraph" w:styleId="BalloonText">
    <w:name w:val="Balloon Text"/>
    <w:basedOn w:val="Normal"/>
    <w:link w:val="BalloonTextChar"/>
    <w:rsid w:val="00ED7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8C3"/>
    <w:pPr>
      <w:spacing w:before="0" w:after="0"/>
    </w:pPr>
  </w:style>
  <w:style w:type="paragraph" w:customStyle="1" w:styleId="BodyTextBold">
    <w:name w:val="Body Text Bold"/>
    <w:basedOn w:val="BodyText"/>
    <w:qFormat/>
    <w:rsid w:val="00ED78C3"/>
    <w:rPr>
      <w:b/>
    </w:rPr>
  </w:style>
  <w:style w:type="character" w:styleId="Hyperlink">
    <w:name w:val="Hyperlink"/>
    <w:basedOn w:val="DefaultParagraphFont"/>
    <w:uiPriority w:val="99"/>
    <w:unhideWhenUsed/>
    <w:rsid w:val="00BE1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5687</Characters>
  <Application>Microsoft Office Word</Application>
  <DocSecurity>0</DocSecurity>
  <Lines>153</Lines>
  <Paragraphs>113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RIIPBP302D Control operations in acid plant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2021-01-25T11:03:00Z</dcterms:created>
  <dcterms:modified xsi:type="dcterms:W3CDTF">2021-01-25T11:03:00Z</dcterms:modified>
</cp:coreProperties>
</file>