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B78" w:rsidP="00AD4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RIIPBE311D Conduct magnetic separation</w:t>
      </w:r>
      <w:r>
        <w:fldChar w:fldCharType="end"/>
      </w:r>
    </w:p>
    <w:p w:rsidR="00AD4B78" w:rsidP="00AD4B78">
      <w:pPr>
        <w:pStyle w:val="Version"/>
        <w:sectPr w:rsidSect="004E4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478C" w:rsidP="004E478C">
      <w:pPr>
        <w:pStyle w:val="SuperHeading"/>
      </w:pPr>
      <w:r w:rsidRPr="004E478C">
        <w:t>Assessment Requirements for RIIPBE311D Conduct magnetic separation</w:t>
      </w:r>
    </w:p>
    <w:p w:rsidR="00000000" w:rsidRPr="004E478C" w:rsidP="004E478C">
      <w:pPr>
        <w:pStyle w:val="Heading1"/>
      </w:pPr>
      <w:bookmarkStart w:id="1" w:name="O_670501"/>
      <w:bookmarkEnd w:id="1"/>
      <w:r w:rsidRPr="004E478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52"/>
        <w:gridCol w:w="7744"/>
      </w:tblGrid>
      <w:tr w:rsidTr="00AD4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78C">
            <w:pPr>
              <w:pStyle w:val="Heading4"/>
              <w:rPr>
                <w:lang w:val="en-NZ"/>
              </w:rPr>
            </w:pPr>
            <w:r w:rsidRPr="004E478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78C">
            <w:pPr>
              <w:pStyle w:val="Heading4"/>
              <w:rPr>
                <w:lang w:val="en-NZ"/>
              </w:rPr>
            </w:pPr>
            <w:r w:rsidRPr="004E478C">
              <w:t>Comment</w:t>
            </w:r>
          </w:p>
        </w:tc>
      </w:tr>
      <w:tr w:rsidTr="00AD4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This unit replaces RIIPBE311B Conduct magnetic separation.</w:t>
            </w:r>
          </w:p>
        </w:tc>
      </w:tr>
      <w:tr w:rsidTr="00AD4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78C" w:rsidP="004E478C">
            <w:pPr>
              <w:pStyle w:val="BodyText"/>
            </w:pPr>
            <w:r w:rsidRPr="004E478C">
              <w:t>Editorial corrections.</w:t>
            </w:r>
          </w:p>
          <w:p w:rsidR="00000000" w:rsidRPr="004E478C" w:rsidP="004E478C">
            <w:pPr>
              <w:pStyle w:val="BodyText"/>
            </w:pPr>
            <w:r w:rsidRPr="004E478C">
              <w:t>Required frequency and volume of evidence amended in Performance evidence.</w:t>
            </w:r>
          </w:p>
          <w:p w:rsidR="00000000" w:rsidRPr="004E478C" w:rsidP="004E478C">
            <w:pPr>
              <w:pStyle w:val="BodyText"/>
            </w:pPr>
            <w:r w:rsidRPr="004E478C">
              <w:t>Substantial amendments made in Assessment Conditions field, including: references to Industry Sectors, assessor and subject matter expert experience requirements, how assessment sho</w:t>
            </w:r>
            <w:r w:rsidRPr="004E478C">
              <w:t>uld be conducted and what it should confirm.</w:t>
            </w:r>
          </w:p>
        </w:tc>
      </w:tr>
    </w:tbl>
    <w:p w:rsidR="00000000" w:rsidRPr="004E478C" w:rsidP="004E478C">
      <w:pPr>
        <w:pStyle w:val="BodyText"/>
      </w:pPr>
    </w:p>
    <w:p w:rsidR="00000000" w:rsidRPr="004E478C" w:rsidP="004E478C">
      <w:pPr>
        <w:pStyle w:val="AllowPageBreak"/>
      </w:pPr>
    </w:p>
    <w:p w:rsidR="00000000" w:rsidRPr="004E478C" w:rsidP="004E478C">
      <w:pPr>
        <w:pStyle w:val="Heading1"/>
      </w:pPr>
      <w:bookmarkStart w:id="2" w:name="O_670500"/>
      <w:bookmarkEnd w:id="2"/>
      <w:r w:rsidRPr="004E478C">
        <w:t>Performance Evidence</w:t>
      </w:r>
    </w:p>
    <w:p w:rsidR="00000000" w:rsidRPr="004E478C" w:rsidP="00AD4B78">
      <w:pPr>
        <w:pStyle w:val="BodyText"/>
      </w:pPr>
      <w:r w:rsidRPr="004E478C">
        <w:t>Evidence is required to be collected that demonstrates a candidate’s competency in this unit. Evidence must be relevant to the roles within this sector’s work operations a</w:t>
      </w:r>
      <w:r w:rsidRPr="004E478C">
        <w:t>nd satisfy all of the requirements of the performance criteria of this unit and include evidence that the candidate:</w:t>
      </w:r>
    </w:p>
    <w:p w:rsidR="00000000" w:rsidRPr="004E478C" w:rsidP="004E478C">
      <w:pPr>
        <w:pStyle w:val="ListBullet"/>
      </w:pPr>
      <w:r w:rsidRPr="004E478C">
        <w:t>locates and applies relevant documentation, policies and procedures</w:t>
      </w:r>
    </w:p>
    <w:p w:rsidR="00000000" w:rsidRPr="004E478C" w:rsidP="004E478C">
      <w:pPr>
        <w:pStyle w:val="ListBullet"/>
      </w:pPr>
      <w:r w:rsidRPr="004E478C">
        <w:t>implements the requirements, procedures and techniques for the safe, effective and efficient completion of magnetic separation including:</w:t>
      </w:r>
    </w:p>
    <w:p w:rsidR="00000000" w:rsidRPr="004E478C" w:rsidP="004E478C">
      <w:pPr>
        <w:pStyle w:val="ListBullet2"/>
      </w:pPr>
      <w:r w:rsidRPr="004E478C">
        <w:t>conducting start up, shut down and/or isolation of equipment in sequence</w:t>
      </w:r>
    </w:p>
    <w:p w:rsidR="00000000" w:rsidRPr="004E478C" w:rsidP="004E478C">
      <w:pPr>
        <w:pStyle w:val="ListBullet2"/>
      </w:pPr>
      <w:r w:rsidRPr="004E478C">
        <w:t>operating and monitoring equipment</w:t>
      </w:r>
    </w:p>
    <w:p w:rsidR="00000000" w:rsidRPr="004E478C" w:rsidP="004E478C">
      <w:pPr>
        <w:pStyle w:val="ListBullet2"/>
      </w:pPr>
      <w:r w:rsidRPr="004E478C">
        <w:t xml:space="preserve">carrying </w:t>
      </w:r>
      <w:r w:rsidRPr="004E478C">
        <w:t>out minor maintenance</w:t>
      </w:r>
    </w:p>
    <w:p w:rsidR="00000000" w:rsidRPr="004E478C" w:rsidP="004E478C">
      <w:pPr>
        <w:pStyle w:val="ListBullet2"/>
      </w:pPr>
      <w:r w:rsidRPr="004E478C">
        <w:t>conducting housekeeping activities</w:t>
      </w:r>
    </w:p>
    <w:p w:rsidR="00000000" w:rsidRPr="004E478C" w:rsidP="004E478C">
      <w:pPr>
        <w:pStyle w:val="ListBullet2"/>
      </w:pPr>
      <w:r w:rsidRPr="004E478C">
        <w:t>diagnosing faults, reporting defects and identifying repair requirements</w:t>
      </w:r>
    </w:p>
    <w:p w:rsidR="00000000" w:rsidRPr="004E478C" w:rsidP="004E478C">
      <w:pPr>
        <w:pStyle w:val="ListBullet2"/>
      </w:pPr>
      <w:r w:rsidRPr="004E478C">
        <w:t>applying lifting techniques (manual, automated)</w:t>
      </w:r>
    </w:p>
    <w:p w:rsidR="00000000" w:rsidRPr="004E478C" w:rsidP="004E478C">
      <w:pPr>
        <w:pStyle w:val="ListBullet2"/>
      </w:pPr>
      <w:r w:rsidRPr="004E478C">
        <w:t>accurate record maintenance</w:t>
      </w:r>
    </w:p>
    <w:p w:rsidR="00000000" w:rsidRPr="004E478C" w:rsidP="004E478C">
      <w:pPr>
        <w:pStyle w:val="ListBullet"/>
      </w:pPr>
      <w:r w:rsidRPr="004E478C">
        <w:t>works effectively with others to undertake and co</w:t>
      </w:r>
      <w:r w:rsidRPr="004E478C">
        <w:t>mplete the magnetic separation in a way that meets all of the required outcomes including:</w:t>
      </w:r>
    </w:p>
    <w:p w:rsidR="00000000" w:rsidRPr="004E478C" w:rsidP="004E478C">
      <w:pPr>
        <w:pStyle w:val="ListBullet2"/>
      </w:pPr>
      <w:r w:rsidRPr="004E478C">
        <w:t>using a range of communications techniques and equipment to convey information to others</w:t>
      </w:r>
    </w:p>
    <w:p w:rsidR="00000000" w:rsidRPr="004E478C" w:rsidP="004E478C">
      <w:pPr>
        <w:pStyle w:val="ListBullet2"/>
      </w:pPr>
      <w:r w:rsidRPr="004E478C">
        <w:t>maintaining written and verbal reporting requirements and procedures</w:t>
      </w:r>
    </w:p>
    <w:p w:rsidR="00000000" w:rsidRPr="004E478C" w:rsidP="004E478C">
      <w:pPr>
        <w:pStyle w:val="ListBullet2"/>
      </w:pPr>
      <w:r w:rsidRPr="004E478C">
        <w:t>organi</w:t>
      </w:r>
      <w:r w:rsidRPr="004E478C">
        <w:t>sing work activities to meet all task requirements</w:t>
      </w:r>
    </w:p>
    <w:p w:rsidR="00000000" w:rsidRPr="004E478C" w:rsidP="004E478C">
      <w:pPr>
        <w:pStyle w:val="ListBullet2"/>
      </w:pPr>
      <w:r w:rsidRPr="004E478C">
        <w:t>communicating clearly and concisely with others to receive and clarify work instructions</w:t>
      </w:r>
    </w:p>
    <w:p w:rsidR="00000000" w:rsidRPr="004E478C" w:rsidP="004E478C">
      <w:pPr>
        <w:pStyle w:val="ListBullet"/>
      </w:pPr>
      <w:r w:rsidRPr="004E478C">
        <w:t>demonstrates completion of conducting magnetic separation that safely, effectively and efficiently meets all of the</w:t>
      </w:r>
      <w:r w:rsidRPr="004E478C">
        <w:t xml:space="preserve"> required outcomes on more than one (1) occasion including:</w:t>
      </w:r>
    </w:p>
    <w:p w:rsidR="00000000" w:rsidRPr="004E478C" w:rsidP="004E478C">
      <w:pPr>
        <w:pStyle w:val="ListBullet2"/>
      </w:pPr>
      <w:r w:rsidRPr="004E478C">
        <w:t xml:space="preserve">reading and interpreting data from equipment indicators to determine separation efficiency </w:t>
      </w:r>
    </w:p>
    <w:p w:rsidR="00000000" w:rsidRPr="004E478C" w:rsidP="004E478C">
      <w:pPr>
        <w:pStyle w:val="ListBullet2"/>
      </w:pPr>
      <w:r w:rsidRPr="004E478C">
        <w:t>continuously inspecting and monitoring plant and identify defects and potential problems</w:t>
      </w:r>
    </w:p>
    <w:p w:rsidR="00000000" w:rsidRPr="004E478C" w:rsidP="004E478C">
      <w:pPr>
        <w:pStyle w:val="ListBullet2"/>
      </w:pPr>
      <w:r w:rsidRPr="004E478C">
        <w:t xml:space="preserve">assessing mineral content of ore according to separation parameters </w:t>
      </w:r>
    </w:p>
    <w:p w:rsidR="00000000" w:rsidRPr="004E478C" w:rsidP="004E478C">
      <w:pPr>
        <w:pStyle w:val="ListBullet2"/>
      </w:pPr>
      <w:r w:rsidRPr="004E478C">
        <w:t>making appropriate adjustments to separation process</w:t>
      </w:r>
    </w:p>
    <w:p w:rsidR="00000000" w:rsidRPr="004E478C" w:rsidP="004E478C">
      <w:pPr>
        <w:pStyle w:val="ListBullet2"/>
      </w:pPr>
      <w:r w:rsidRPr="004E478C">
        <w:t>adjusting equipment to agreed parameters</w:t>
      </w:r>
    </w:p>
    <w:p w:rsidR="00000000" w:rsidRPr="004E478C" w:rsidP="004E478C">
      <w:pPr>
        <w:pStyle w:val="AllowPageBreak"/>
      </w:pPr>
    </w:p>
    <w:p w:rsidR="00000000" w:rsidRPr="004E478C" w:rsidP="004E478C">
      <w:pPr>
        <w:pStyle w:val="Heading1"/>
      </w:pPr>
      <w:bookmarkStart w:id="3" w:name="O_670499"/>
      <w:bookmarkEnd w:id="3"/>
      <w:r w:rsidRPr="004E478C">
        <w:t>Knowledge Evidence</w:t>
      </w:r>
    </w:p>
    <w:p w:rsidR="00000000" w:rsidRPr="004E478C" w:rsidP="00AD4B78">
      <w:pPr>
        <w:pStyle w:val="BodyText"/>
      </w:pPr>
      <w:r w:rsidRPr="004E478C">
        <w:t>The candidate must demonstrate knowledge of conducting ma</w:t>
      </w:r>
      <w:r w:rsidRPr="004E478C">
        <w:t>gnetic separation through:</w:t>
      </w:r>
    </w:p>
    <w:p w:rsidR="00000000" w:rsidRPr="004E478C" w:rsidP="004E478C">
      <w:pPr>
        <w:pStyle w:val="ListBullet"/>
      </w:pPr>
      <w:r w:rsidRPr="004E478C">
        <w:t>accessing, interpreting and applying organisation and site requirements and procedures for:</w:t>
      </w:r>
    </w:p>
    <w:p w:rsidR="00000000" w:rsidRPr="004E478C" w:rsidP="004E478C">
      <w:pPr>
        <w:pStyle w:val="ListBullet2"/>
      </w:pPr>
      <w:r w:rsidRPr="004E478C">
        <w:t>WHS, site safety and emergencies</w:t>
      </w:r>
    </w:p>
    <w:p w:rsidR="00000000" w:rsidRPr="004E478C" w:rsidP="004E478C">
      <w:pPr>
        <w:pStyle w:val="ListBullet2"/>
      </w:pPr>
      <w:r w:rsidRPr="004E478C">
        <w:t>environmental issues</w:t>
      </w:r>
    </w:p>
    <w:p w:rsidR="00000000" w:rsidRPr="004E478C" w:rsidP="004E478C">
      <w:pPr>
        <w:pStyle w:val="ListBullet2"/>
      </w:pPr>
      <w:r w:rsidRPr="004E478C">
        <w:t>equipment safety requirements</w:t>
      </w:r>
    </w:p>
    <w:p w:rsidR="00000000" w:rsidRPr="004E478C" w:rsidP="004E478C">
      <w:pPr>
        <w:pStyle w:val="ListBullet2"/>
      </w:pPr>
      <w:r w:rsidRPr="004E478C">
        <w:t xml:space="preserve">hazardous substance procedures and consequences of </w:t>
      </w:r>
      <w:r w:rsidRPr="004E478C">
        <w:t>spills</w:t>
      </w:r>
    </w:p>
    <w:p w:rsidR="00000000" w:rsidRPr="004E478C" w:rsidP="004E478C">
      <w:pPr>
        <w:pStyle w:val="ListBullet2"/>
      </w:pPr>
      <w:r w:rsidRPr="004E478C">
        <w:t>operational procedures and checks</w:t>
      </w:r>
    </w:p>
    <w:p w:rsidR="00000000" w:rsidRPr="004E478C" w:rsidP="004E478C">
      <w:pPr>
        <w:pStyle w:val="ListBullet2"/>
      </w:pPr>
      <w:r w:rsidRPr="004E478C">
        <w:t>site procedures</w:t>
      </w:r>
    </w:p>
    <w:p w:rsidR="00000000" w:rsidRPr="004E478C" w:rsidP="004E478C">
      <w:pPr>
        <w:pStyle w:val="ListBullet2"/>
      </w:pPr>
      <w:r w:rsidRPr="004E478C">
        <w:t>equipment break-downs</w:t>
      </w:r>
    </w:p>
    <w:p w:rsidR="00000000" w:rsidRPr="004E478C" w:rsidP="004E478C">
      <w:pPr>
        <w:pStyle w:val="ListBullet2"/>
      </w:pPr>
      <w:r w:rsidRPr="004E478C">
        <w:t>equipment isolation</w:t>
      </w:r>
    </w:p>
    <w:p w:rsidR="00000000" w:rsidRPr="004E478C" w:rsidP="004E478C">
      <w:pPr>
        <w:pStyle w:val="ListBullet2"/>
      </w:pPr>
      <w:r w:rsidRPr="004E478C">
        <w:t>contaminant identification and treatment</w:t>
      </w:r>
    </w:p>
    <w:p w:rsidR="00000000" w:rsidRPr="004E478C" w:rsidP="004E478C">
      <w:pPr>
        <w:pStyle w:val="ListBullet2"/>
      </w:pPr>
      <w:r w:rsidRPr="004E478C">
        <w:t>reading and interpreting reports</w:t>
      </w:r>
    </w:p>
    <w:p w:rsidR="00000000" w:rsidRPr="004E478C" w:rsidP="004E478C">
      <w:pPr>
        <w:pStyle w:val="ListBullet"/>
      </w:pPr>
      <w:r w:rsidRPr="004E478C">
        <w:t>monitoring and applying equipment operating parameters</w:t>
      </w:r>
    </w:p>
    <w:p w:rsidR="00000000" w:rsidRPr="004E478C" w:rsidP="004E478C">
      <w:pPr>
        <w:pStyle w:val="ListBullet"/>
      </w:pPr>
      <w:r w:rsidRPr="004E478C">
        <w:t xml:space="preserve">monitoring separation plant </w:t>
      </w:r>
    </w:p>
    <w:p w:rsidR="00000000" w:rsidRPr="004E478C" w:rsidP="004E478C">
      <w:pPr>
        <w:pStyle w:val="ListBullet"/>
      </w:pPr>
      <w:r w:rsidRPr="004E478C">
        <w:t>interpreting metallurgical and technical data</w:t>
      </w:r>
    </w:p>
    <w:p w:rsidR="00000000" w:rsidRPr="004E478C" w:rsidP="004E478C">
      <w:pPr>
        <w:pStyle w:val="ListBullet"/>
      </w:pPr>
      <w:r w:rsidRPr="004E478C">
        <w:t>applying magnetic separation safety requirements</w:t>
      </w:r>
    </w:p>
    <w:p w:rsidR="00000000" w:rsidRPr="004E478C" w:rsidP="004E478C">
      <w:pPr>
        <w:pStyle w:val="ListBullet"/>
      </w:pPr>
      <w:r w:rsidRPr="004E478C">
        <w:t>identifying types of ores and grades</w:t>
      </w:r>
    </w:p>
    <w:p w:rsidR="00000000" w:rsidRPr="004E478C" w:rsidP="004E478C">
      <w:pPr>
        <w:pStyle w:val="AllowPageBreak"/>
      </w:pPr>
    </w:p>
    <w:p w:rsidR="00000000" w:rsidRPr="004E478C" w:rsidP="004E478C">
      <w:pPr>
        <w:pStyle w:val="Heading1"/>
      </w:pPr>
      <w:bookmarkStart w:id="4" w:name="O_670498"/>
      <w:bookmarkEnd w:id="4"/>
      <w:r w:rsidRPr="004E478C">
        <w:t>Assessment Conditions</w:t>
      </w:r>
    </w:p>
    <w:p w:rsidR="00000000" w:rsidRPr="004E478C" w:rsidP="004E478C">
      <w:pPr>
        <w:pStyle w:val="ListBullet"/>
      </w:pPr>
      <w:r w:rsidRPr="004E478C">
        <w:t xml:space="preserve">An assessor of this unit must satisfy the requirements </w:t>
      </w:r>
      <w:r w:rsidRPr="004E478C">
        <w:t xml:space="preserve">of the NVR/AQTF or their successors; and Industry regulations for certification and licensing; and, </w:t>
      </w:r>
    </w:p>
    <w:p w:rsidR="00000000" w:rsidRPr="004E478C" w:rsidP="004E478C">
      <w:pPr>
        <w:pStyle w:val="ListBullet"/>
      </w:pPr>
      <w:r w:rsidRPr="004E478C">
        <w:t>this unit must be assessed in the context of this sector’s work environment; and,</w:t>
      </w:r>
    </w:p>
    <w:p w:rsidR="00000000" w:rsidRPr="004E478C" w:rsidP="004E478C">
      <w:pPr>
        <w:pStyle w:val="ListBullet"/>
      </w:pPr>
      <w:r w:rsidRPr="004E478C">
        <w:t>this unit must be assessed in compliance with relevant legislation/regula</w:t>
      </w:r>
      <w:r w:rsidRPr="004E478C">
        <w:t>tion and using policies, procedures, processes and operational manuals directly related to the industry sector for which it is being assessed; and,</w:t>
      </w:r>
    </w:p>
    <w:p w:rsidR="00000000" w:rsidRPr="004E478C" w:rsidP="004E478C">
      <w:pPr>
        <w:pStyle w:val="ListBullet"/>
      </w:pPr>
      <w:r w:rsidRPr="004E478C">
        <w:t>assessment may be conducted in conjunction with the assessment of other Units of Competency; and,</w:t>
      </w:r>
    </w:p>
    <w:p w:rsidR="00000000" w:rsidRPr="004E478C" w:rsidP="004E478C">
      <w:pPr>
        <w:pStyle w:val="ListBullet"/>
      </w:pPr>
      <w:r w:rsidRPr="004E478C">
        <w:t>assessment must confirm consistent performance can be applied in a range of relevant workplace circumstances; and,</w:t>
      </w:r>
    </w:p>
    <w:p w:rsidR="00000000" w:rsidRPr="004E478C" w:rsidP="004E478C">
      <w:pPr>
        <w:pStyle w:val="ListBullet"/>
      </w:pPr>
      <w:r w:rsidRPr="004E478C">
        <w:t>assessors must demonstrate the performance evidence, and knowledge evidence as outlined in this Unit of Competency, and through the minimum y</w:t>
      </w:r>
      <w:r w:rsidRPr="004E478C">
        <w:t>ears of current* work experience specified below in an Industry sector relevant to the outcomes of the unit; or,</w:t>
      </w:r>
    </w:p>
    <w:p w:rsidR="00000000" w:rsidRPr="004E478C" w:rsidP="004E478C">
      <w:pPr>
        <w:pStyle w:val="ListBullet"/>
      </w:pPr>
      <w:r w:rsidRPr="004E478C">
        <w:t>where the assessor does not meet experience requirements a co-assessment or partnership arrangement must exist between the qualified assessor a</w:t>
      </w:r>
      <w:r w:rsidRPr="004E478C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E478C">
        <w:t>e skills and knowledge from the minimum years of current work experience specified below in the Industry sector, including time spent in roles related to the unit being assessed; and,</w:t>
      </w:r>
    </w:p>
    <w:p w:rsidR="00000000" w:rsidRPr="004E478C" w:rsidP="004E478C">
      <w:pPr>
        <w:pStyle w:val="ListBullet"/>
      </w:pPr>
      <w:r w:rsidRPr="004E478C">
        <w:t>assessor and Industry subject matter expert requirements differ dependin</w:t>
      </w:r>
      <w:r w:rsidRPr="004E478C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E478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Heading4"/>
              <w:rPr>
                <w:lang w:val="en-NZ"/>
              </w:rPr>
            </w:pPr>
            <w:r w:rsidRPr="004E478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Heading4"/>
              <w:rPr>
                <w:lang w:val="en-NZ"/>
              </w:rPr>
            </w:pPr>
            <w:r w:rsidRPr="004E478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Heading4"/>
              <w:rPr>
                <w:lang w:val="en-NZ"/>
              </w:rPr>
            </w:pPr>
            <w:r w:rsidRPr="004E478C">
              <w:t>Required assessor or Industry subject matter expert experience</w:t>
            </w:r>
          </w:p>
        </w:tc>
      </w:tr>
      <w:tr w:rsidTr="004E478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Drilling, Metalliferous Mining, Coal</w:t>
            </w:r>
            <w:r w:rsidRPr="004E478C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1 Year</w:t>
            </w:r>
          </w:p>
        </w:tc>
      </w:tr>
      <w:tr w:rsidTr="004E478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2 Years</w:t>
            </w:r>
          </w:p>
        </w:tc>
      </w:tr>
      <w:tr w:rsidTr="004E478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3 Years</w:t>
            </w:r>
          </w:p>
        </w:tc>
      </w:tr>
      <w:tr w:rsidTr="004E478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5 Years</w:t>
            </w:r>
          </w:p>
        </w:tc>
      </w:tr>
      <w:tr w:rsidTr="004E478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78C">
            <w:pPr>
              <w:pStyle w:val="BodyText"/>
              <w:rPr>
                <w:lang w:val="en-NZ"/>
              </w:rPr>
            </w:pPr>
            <w:r w:rsidRPr="004E478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478C" w:rsidP="004E478C">
            <w:pPr>
              <w:pStyle w:val="BodyText"/>
            </w:pPr>
            <w:r w:rsidRPr="004E478C">
              <w:t xml:space="preserve">Where this Unit is being </w:t>
            </w:r>
            <w:r w:rsidRPr="004E478C">
              <w:t>assessed outside of the Resources and Infrastructure Sectors assessor and/or Industry subject matter expert experience should be in-line with industry standards for the sector in which it is being assessed and where no Industry standard is specified should</w:t>
            </w:r>
            <w:r w:rsidRPr="004E478C">
              <w:t xml:space="preserve"> comply with any relevant regulation.</w:t>
            </w:r>
          </w:p>
        </w:tc>
      </w:tr>
    </w:tbl>
    <w:p w:rsidR="00000000" w:rsidRPr="004E478C" w:rsidP="00AD4B78">
      <w:pPr>
        <w:pStyle w:val="BodyText"/>
      </w:pPr>
      <w:r w:rsidRPr="004E478C">
        <w:t>*Assessors can demonstrate current work experience through employment within Industry in a role relevant to the outcomes of the Unit; or, for external assessors this can be demonstrated through exposure to Industry b</w:t>
      </w:r>
      <w:r w:rsidRPr="004E478C">
        <w:t>y conducting frequent site assessments across various locations.</w:t>
      </w:r>
    </w:p>
    <w:p w:rsidR="00000000" w:rsidRPr="004E478C" w:rsidP="00AD4B78">
      <w:pPr>
        <w:pStyle w:val="BodyText"/>
      </w:pPr>
      <w:r w:rsidRPr="004E478C">
        <w:t>**Where a unit is being delivered outside of a Qualification the first numeric character in the Unit code should be considered to indicate the AQF level</w:t>
      </w:r>
    </w:p>
    <w:p w:rsidR="00000000" w:rsidRPr="004E478C" w:rsidP="004E478C">
      <w:pPr>
        <w:pStyle w:val="Heading1"/>
      </w:pPr>
      <w:bookmarkStart w:id="5" w:name="O_670510"/>
      <w:bookmarkEnd w:id="5"/>
      <w:r w:rsidRPr="004E478C">
        <w:t>Links</w:t>
      </w:r>
    </w:p>
    <w:p w:rsidR="00000000" w:rsidRPr="004E478C" w:rsidP="00AD4B78">
      <w:pPr>
        <w:pStyle w:val="BodyText"/>
      </w:pPr>
      <w:r w:rsidRPr="004E478C">
        <w:t>Companion Volum</w:t>
      </w:r>
      <w:r w:rsidRPr="004E478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55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478C" w:rsidP="004E478C"/>
    <w:sectPr w:rsidSect="004E4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8C" w:rsidRPr="00AD4B78" w:rsidP="00AD4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78" w:rsidP="004E4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B78" w:rsidP="004E4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4B78" w:rsidP="004E4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78C" w:rsidRPr="00AD4B78" w:rsidP="00AD4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78" w:rsidRPr="002D2AF8" w:rsidP="004E4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RIIPBE311D Conduct magnetic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4B78" w:rsidP="004E4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F2F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96F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07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78C"/>
  </w:style>
  <w:style w:type="character" w:customStyle="1" w:styleId="Heading1Char">
    <w:name w:val="Heading 1 Char"/>
    <w:basedOn w:val="DefaultParagraphFont"/>
    <w:link w:val="Heading1"/>
    <w:rsid w:val="004E4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78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4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7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47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78C"/>
    <w:rPr>
      <w:b/>
      <w:spacing w:val="0"/>
    </w:rPr>
  </w:style>
  <w:style w:type="paragraph" w:customStyle="1" w:styleId="SuperTitle">
    <w:name w:val="SuperTitle"/>
    <w:basedOn w:val="Title"/>
    <w:rsid w:val="004E4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78C"/>
    <w:rPr>
      <w:i/>
    </w:rPr>
  </w:style>
  <w:style w:type="paragraph" w:styleId="Caption">
    <w:name w:val="caption"/>
    <w:basedOn w:val="BodyText"/>
    <w:next w:val="Normal"/>
    <w:qFormat/>
    <w:rsid w:val="004E4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78C"/>
  </w:style>
  <w:style w:type="paragraph" w:styleId="TableofFigures">
    <w:name w:val="table of figures"/>
    <w:basedOn w:val="Normal"/>
    <w:next w:val="Normal"/>
    <w:semiHidden/>
    <w:rsid w:val="004E4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7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78C"/>
    <w:rPr>
      <w:rFonts w:ascii="Wingdings" w:hAnsi="Wingdings"/>
    </w:rPr>
  </w:style>
  <w:style w:type="paragraph" w:customStyle="1" w:styleId="TableHeading">
    <w:name w:val="Table Heading"/>
    <w:basedOn w:val="HeadingBase"/>
    <w:rsid w:val="004E4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78C"/>
    <w:rPr>
      <w:color w:val="0033CC"/>
      <w:u w:val="none"/>
    </w:rPr>
  </w:style>
  <w:style w:type="paragraph" w:customStyle="1" w:styleId="BodyTextRight">
    <w:name w:val="Body Text Right"/>
    <w:basedOn w:val="BodyText"/>
    <w:rsid w:val="004E4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7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78C"/>
    <w:rPr>
      <w:sz w:val="32"/>
    </w:rPr>
  </w:style>
  <w:style w:type="paragraph" w:customStyle="1" w:styleId="HeadingProcedure">
    <w:name w:val="Heading Procedure"/>
    <w:basedOn w:val="HeadingBase"/>
    <w:next w:val="Normal"/>
    <w:rsid w:val="004E4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78C"/>
    <w:pPr>
      <w:spacing w:before="60" w:after="60"/>
    </w:pPr>
  </w:style>
  <w:style w:type="paragraph" w:styleId="ListContinue">
    <w:name w:val="List Continue"/>
    <w:basedOn w:val="List"/>
    <w:rsid w:val="004E478C"/>
    <w:pPr>
      <w:ind w:firstLine="0"/>
    </w:pPr>
  </w:style>
  <w:style w:type="paragraph" w:customStyle="1" w:styleId="ListNote">
    <w:name w:val="List Note"/>
    <w:basedOn w:val="List"/>
    <w:rsid w:val="004E4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78C"/>
    <w:rPr>
      <w:rFonts w:ascii="Courier New" w:hAnsi="Courier New"/>
    </w:rPr>
  </w:style>
  <w:style w:type="paragraph" w:customStyle="1" w:styleId="NoteBullet">
    <w:name w:val="Note Bullet"/>
    <w:basedOn w:val="Note"/>
    <w:rsid w:val="004E4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7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78C"/>
    <w:rPr>
      <w:b/>
      <w:smallCaps/>
    </w:rPr>
  </w:style>
  <w:style w:type="paragraph" w:customStyle="1" w:styleId="TableListNumber">
    <w:name w:val="Table List Number"/>
    <w:basedOn w:val="ListNumber"/>
    <w:rsid w:val="004E4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78C"/>
    <w:pPr>
      <w:numPr>
        <w:numId w:val="9"/>
      </w:numPr>
    </w:pPr>
  </w:style>
  <w:style w:type="paragraph" w:customStyle="1" w:styleId="ListAlpha2">
    <w:name w:val="List Alpha 2"/>
    <w:basedOn w:val="List2"/>
    <w:rsid w:val="004E478C"/>
    <w:pPr>
      <w:numPr>
        <w:numId w:val="8"/>
      </w:numPr>
    </w:pPr>
  </w:style>
  <w:style w:type="paragraph" w:styleId="List2">
    <w:name w:val="List 2"/>
    <w:basedOn w:val="BodyText"/>
    <w:rsid w:val="004E4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7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7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78C"/>
    <w:pPr>
      <w:numPr>
        <w:numId w:val="4"/>
      </w:numPr>
    </w:pPr>
  </w:style>
  <w:style w:type="paragraph" w:styleId="ListContinue2">
    <w:name w:val="List Continue 2"/>
    <w:basedOn w:val="List2"/>
    <w:rsid w:val="004E478C"/>
    <w:pPr>
      <w:ind w:firstLine="0"/>
    </w:pPr>
  </w:style>
  <w:style w:type="paragraph" w:styleId="ListContinue3">
    <w:name w:val="List Continue 3"/>
    <w:basedOn w:val="List3"/>
    <w:rsid w:val="004E478C"/>
    <w:pPr>
      <w:ind w:left="1021" w:firstLine="0"/>
    </w:pPr>
  </w:style>
  <w:style w:type="paragraph" w:styleId="ListContinue4">
    <w:name w:val="List Continue 4"/>
    <w:basedOn w:val="List4"/>
    <w:rsid w:val="004E478C"/>
    <w:pPr>
      <w:ind w:firstLine="0"/>
    </w:pPr>
  </w:style>
  <w:style w:type="paragraph" w:styleId="ListContinue5">
    <w:name w:val="List Continue 5"/>
    <w:basedOn w:val="List5"/>
    <w:rsid w:val="004E478C"/>
    <w:pPr>
      <w:ind w:firstLine="0"/>
    </w:pPr>
  </w:style>
  <w:style w:type="paragraph" w:styleId="ListNumber3">
    <w:name w:val="List Number 3"/>
    <w:basedOn w:val="List3"/>
    <w:rsid w:val="004E478C"/>
    <w:pPr>
      <w:numPr>
        <w:numId w:val="5"/>
      </w:numPr>
    </w:pPr>
  </w:style>
  <w:style w:type="paragraph" w:styleId="ListNumber4">
    <w:name w:val="List Number 4"/>
    <w:basedOn w:val="List4"/>
    <w:rsid w:val="004E478C"/>
    <w:pPr>
      <w:numPr>
        <w:numId w:val="6"/>
      </w:numPr>
    </w:pPr>
  </w:style>
  <w:style w:type="paragraph" w:styleId="ListNumber5">
    <w:name w:val="List Number 5"/>
    <w:basedOn w:val="List5"/>
    <w:rsid w:val="004E478C"/>
    <w:pPr>
      <w:numPr>
        <w:numId w:val="7"/>
      </w:numPr>
    </w:pPr>
  </w:style>
  <w:style w:type="paragraph" w:styleId="BlockText">
    <w:name w:val="Block Text"/>
    <w:basedOn w:val="Normal"/>
    <w:rsid w:val="004E4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78C"/>
    <w:rPr>
      <w:sz w:val="16"/>
      <w:vertAlign w:val="superscript"/>
    </w:rPr>
  </w:style>
  <w:style w:type="character" w:customStyle="1" w:styleId="Symbols">
    <w:name w:val="Symbols"/>
    <w:basedOn w:val="DefaultParagraphFont"/>
    <w:rsid w:val="004E478C"/>
    <w:rPr>
      <w:rFonts w:ascii="Symbol" w:hAnsi="Symbol"/>
    </w:rPr>
  </w:style>
  <w:style w:type="character" w:customStyle="1" w:styleId="MenuOptions">
    <w:name w:val="Menu Options"/>
    <w:basedOn w:val="DefaultParagraphFont"/>
    <w:rsid w:val="004E4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78C"/>
    <w:rPr>
      <w:b/>
    </w:rPr>
  </w:style>
  <w:style w:type="character" w:customStyle="1" w:styleId="Underlined">
    <w:name w:val="Underlined"/>
    <w:basedOn w:val="DefaultParagraphFont"/>
    <w:rsid w:val="004E478C"/>
    <w:rPr>
      <w:u w:val="single"/>
    </w:rPr>
  </w:style>
  <w:style w:type="paragraph" w:customStyle="1" w:styleId="TableBodyTextRight">
    <w:name w:val="Table Body Text Right"/>
    <w:basedOn w:val="TableBodyText"/>
    <w:rsid w:val="004E4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78C"/>
    <w:rPr>
      <w:sz w:val="18"/>
    </w:rPr>
  </w:style>
  <w:style w:type="paragraph" w:customStyle="1" w:styleId="BodySmallRight">
    <w:name w:val="Body Small Right"/>
    <w:basedOn w:val="BodyTextRight"/>
    <w:rsid w:val="004E478C"/>
    <w:rPr>
      <w:sz w:val="18"/>
      <w:szCs w:val="18"/>
    </w:rPr>
  </w:style>
  <w:style w:type="paragraph" w:customStyle="1" w:styleId="MarginEdition">
    <w:name w:val="Margin Edition"/>
    <w:basedOn w:val="MarginNote"/>
    <w:rsid w:val="004E4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78C"/>
    <w:rPr>
      <w:sz w:val="2"/>
      <w:szCs w:val="2"/>
    </w:rPr>
  </w:style>
  <w:style w:type="character" w:customStyle="1" w:styleId="Small">
    <w:name w:val="Small"/>
    <w:basedOn w:val="DefaultParagraphFont"/>
    <w:rsid w:val="004E478C"/>
    <w:rPr>
      <w:sz w:val="16"/>
    </w:rPr>
  </w:style>
  <w:style w:type="paragraph" w:customStyle="1" w:styleId="WideTable">
    <w:name w:val="Wide Table"/>
    <w:basedOn w:val="Normal"/>
    <w:rsid w:val="004E4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78C"/>
  </w:style>
  <w:style w:type="paragraph" w:styleId="Quote">
    <w:name w:val="Quote"/>
    <w:basedOn w:val="Heading1"/>
    <w:link w:val="QuoteChar"/>
    <w:qFormat/>
    <w:rsid w:val="004E4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78C"/>
    <w:pPr>
      <w:pageBreakBefore/>
    </w:pPr>
  </w:style>
  <w:style w:type="paragraph" w:customStyle="1" w:styleId="Border">
    <w:name w:val="Border"/>
    <w:basedOn w:val="Normal"/>
    <w:qFormat/>
    <w:rsid w:val="004E4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78C"/>
    <w:rPr>
      <w:u w:val="single"/>
    </w:rPr>
  </w:style>
  <w:style w:type="character" w:customStyle="1" w:styleId="BoldandItalics">
    <w:name w:val="Bold and Italics"/>
    <w:qFormat/>
    <w:rsid w:val="004E478C"/>
    <w:rPr>
      <w:b/>
      <w:i/>
      <w:u w:val="none"/>
    </w:rPr>
  </w:style>
  <w:style w:type="paragraph" w:styleId="BalloonText">
    <w:name w:val="Balloon Text"/>
    <w:basedOn w:val="Normal"/>
    <w:link w:val="BalloonTextChar"/>
    <w:rsid w:val="004E4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78C"/>
    <w:pPr>
      <w:spacing w:before="0" w:after="0"/>
    </w:pPr>
  </w:style>
  <w:style w:type="paragraph" w:customStyle="1" w:styleId="BodyTextBold">
    <w:name w:val="Body Text Bold"/>
    <w:basedOn w:val="BodyText"/>
    <w:qFormat/>
    <w:rsid w:val="004E478C"/>
    <w:rPr>
      <w:b/>
    </w:rPr>
  </w:style>
  <w:style w:type="character" w:styleId="Hyperlink">
    <w:name w:val="Hyperlink"/>
    <w:basedOn w:val="DefaultParagraphFont"/>
    <w:uiPriority w:val="99"/>
    <w:unhideWhenUsed/>
    <w:rsid w:val="00AD4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5407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RIIPBE311D Conduct magnetic separation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