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B03" w:rsidP="00707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RIIOGF201D Carry out deck operations</w:t>
      </w:r>
      <w:r>
        <w:fldChar w:fldCharType="end"/>
      </w:r>
    </w:p>
    <w:p w:rsidR="00707B03" w:rsidP="00707B03">
      <w:pPr>
        <w:pStyle w:val="Version"/>
        <w:sectPr w:rsidSect="00AE5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5B0E" w:rsidP="00AE5B0E">
      <w:pPr>
        <w:pStyle w:val="SuperHeading"/>
      </w:pPr>
      <w:r w:rsidRPr="00AE5B0E">
        <w:t>Assessment Requirements for RIIOGF201D Carry out deck operations</w:t>
      </w:r>
    </w:p>
    <w:p w:rsidR="00000000" w:rsidRPr="00AE5B0E" w:rsidP="00AE5B0E">
      <w:pPr>
        <w:pStyle w:val="Heading1"/>
      </w:pPr>
      <w:bookmarkStart w:id="1" w:name="O_691590"/>
      <w:bookmarkEnd w:id="1"/>
      <w:r w:rsidRPr="00AE5B0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0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E">
            <w:pPr>
              <w:pStyle w:val="Heading4"/>
              <w:rPr>
                <w:lang w:val="en-NZ"/>
              </w:rPr>
            </w:pPr>
            <w:r w:rsidRPr="00AE5B0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E">
            <w:pPr>
              <w:pStyle w:val="Heading4"/>
              <w:rPr>
                <w:lang w:val="en-NZ"/>
              </w:rPr>
            </w:pPr>
            <w:r w:rsidRPr="00AE5B0E">
              <w:t>Comment</w:t>
            </w:r>
          </w:p>
        </w:tc>
      </w:tr>
      <w:tr w:rsidTr="0070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This unit replaces RIIOGF201A Carry out deck operations</w:t>
            </w:r>
          </w:p>
        </w:tc>
      </w:tr>
      <w:tr w:rsidTr="0070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B0E" w:rsidP="00AE5B0E">
            <w:pPr>
              <w:pStyle w:val="BodyText"/>
            </w:pPr>
            <w:r w:rsidRPr="00AE5B0E">
              <w:t>Required frequency and volume of evidence amended in Performance evidence.</w:t>
            </w:r>
          </w:p>
          <w:p w:rsidR="00000000" w:rsidRPr="00AE5B0E" w:rsidP="00AE5B0E">
            <w:pPr>
              <w:pStyle w:val="BodyText"/>
            </w:pPr>
            <w:r w:rsidRPr="00AE5B0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E5B0E" w:rsidP="00AE5B0E">
      <w:pPr>
        <w:pStyle w:val="BodyText"/>
      </w:pPr>
    </w:p>
    <w:p w:rsidR="00000000" w:rsidRPr="00AE5B0E" w:rsidP="00AE5B0E">
      <w:pPr>
        <w:pStyle w:val="AllowPageBreak"/>
      </w:pPr>
    </w:p>
    <w:p w:rsidR="00000000" w:rsidRPr="00AE5B0E" w:rsidP="00AE5B0E">
      <w:pPr>
        <w:pStyle w:val="Heading1"/>
      </w:pPr>
      <w:bookmarkStart w:id="2" w:name="O_691589"/>
      <w:bookmarkEnd w:id="2"/>
      <w:r w:rsidRPr="00AE5B0E">
        <w:t>Performance</w:t>
      </w:r>
      <w:r w:rsidRPr="00AE5B0E">
        <w:t xml:space="preserve"> Evidence</w:t>
      </w:r>
    </w:p>
    <w:p w:rsidR="00000000" w:rsidRPr="00AE5B0E" w:rsidP="00707B03">
      <w:pPr>
        <w:pStyle w:val="BodyText"/>
      </w:pPr>
      <w:r w:rsidRPr="00AE5B0E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AE5B0E">
        <w:t xml:space="preserve"> and include evidence that the candidate:</w:t>
      </w:r>
    </w:p>
    <w:p w:rsidR="00000000" w:rsidRPr="00AE5B0E" w:rsidP="00AE5B0E">
      <w:pPr>
        <w:pStyle w:val="ListBullet"/>
      </w:pPr>
      <w:r w:rsidRPr="00AE5B0E">
        <w:t>locates and applies applicable documentation, policies and procedures</w:t>
      </w:r>
    </w:p>
    <w:p w:rsidR="00000000" w:rsidRPr="00AE5B0E" w:rsidP="00AE5B0E">
      <w:pPr>
        <w:pStyle w:val="ListBullet"/>
      </w:pPr>
      <w:r w:rsidRPr="00AE5B0E">
        <w:t xml:space="preserve">implements the requirements, procedures and techniques for the safe, effective and efficient completion of carrying out deck operations including: </w:t>
      </w:r>
    </w:p>
    <w:p w:rsidR="00000000" w:rsidRPr="00AE5B0E" w:rsidP="00AE5B0E">
      <w:pPr>
        <w:pStyle w:val="ListBullet2"/>
      </w:pPr>
      <w:r w:rsidRPr="00AE5B0E">
        <w:t>apply legislative, organisation and site requirements and procedures for carrying out deck operations</w:t>
      </w:r>
    </w:p>
    <w:p w:rsidR="00000000" w:rsidRPr="00AE5B0E" w:rsidP="00AE5B0E">
      <w:pPr>
        <w:pStyle w:val="ListBullet2"/>
      </w:pPr>
      <w:r w:rsidRPr="00AE5B0E">
        <w:t>carry</w:t>
      </w:r>
      <w:r w:rsidRPr="00AE5B0E">
        <w:t xml:space="preserve"> out duties of a crane chaser/dogger according to company and statutory requirements</w:t>
      </w:r>
    </w:p>
    <w:p w:rsidR="00000000" w:rsidRPr="00AE5B0E" w:rsidP="00AE5B0E">
      <w:pPr>
        <w:pStyle w:val="ListBullet"/>
      </w:pPr>
      <w:r w:rsidRPr="00AE5B0E">
        <w:t>demonstrates completion of carrying out deck operations that safely, effectively and efficiently meets all of the required outcomes on more than one (1) occasion includin</w:t>
      </w:r>
      <w:r w:rsidRPr="00AE5B0E">
        <w:t>g:</w:t>
      </w:r>
    </w:p>
    <w:p w:rsidR="00000000" w:rsidRPr="00AE5B0E" w:rsidP="00AE5B0E">
      <w:pPr>
        <w:pStyle w:val="ListBullet2"/>
      </w:pPr>
      <w:r w:rsidRPr="00AE5B0E">
        <w:t>selecting and fitting correct stinger/slings appropriate for crane load</w:t>
      </w:r>
    </w:p>
    <w:p w:rsidR="00000000" w:rsidRPr="00AE5B0E" w:rsidP="00AE5B0E">
      <w:pPr>
        <w:pStyle w:val="ListBullet2"/>
      </w:pPr>
      <w:r w:rsidRPr="00AE5B0E">
        <w:t>placing, measuring, labelling and recording details of tubulures</w:t>
      </w:r>
    </w:p>
    <w:p w:rsidR="00000000" w:rsidRPr="00AE5B0E" w:rsidP="00AE5B0E">
      <w:pPr>
        <w:pStyle w:val="ListBullet2"/>
      </w:pPr>
      <w:r w:rsidRPr="00AE5B0E">
        <w:t>operate power tools</w:t>
      </w:r>
    </w:p>
    <w:p w:rsidR="00000000" w:rsidRPr="00AE5B0E" w:rsidP="00AE5B0E">
      <w:pPr>
        <w:pStyle w:val="ListBullet2"/>
      </w:pPr>
      <w:r w:rsidRPr="00AE5B0E">
        <w:t>wearing appropriate personal protective clothing and equipment during operation of power tools</w:t>
      </w:r>
    </w:p>
    <w:p w:rsidR="00000000" w:rsidRPr="00AE5B0E" w:rsidP="00AE5B0E">
      <w:pPr>
        <w:pStyle w:val="ListBullet2"/>
      </w:pPr>
      <w:r w:rsidRPr="00AE5B0E">
        <w:t>assisting in running/recovery of bop stack</w:t>
      </w:r>
    </w:p>
    <w:p w:rsidR="00000000" w:rsidRPr="00AE5B0E" w:rsidP="00AE5B0E">
      <w:pPr>
        <w:pStyle w:val="ListBullet2"/>
      </w:pPr>
      <w:r w:rsidRPr="00AE5B0E">
        <w:t>assisting in supply of marine riser and equipment to drill floor</w:t>
      </w:r>
    </w:p>
    <w:p w:rsidR="00000000" w:rsidRPr="00AE5B0E" w:rsidP="00AE5B0E">
      <w:pPr>
        <w:pStyle w:val="ListBullet2"/>
      </w:pPr>
      <w:r w:rsidRPr="00AE5B0E">
        <w:t>assisting in loading/discharge and fuelling of helicopter</w:t>
      </w:r>
    </w:p>
    <w:p w:rsidR="00000000" w:rsidRPr="00AE5B0E" w:rsidP="00AE5B0E">
      <w:pPr>
        <w:pStyle w:val="ListBullet2"/>
      </w:pPr>
      <w:r w:rsidRPr="00AE5B0E">
        <w:t>assisting Derrickman in making up drilling mud</w:t>
      </w:r>
    </w:p>
    <w:p w:rsidR="00000000" w:rsidRPr="00AE5B0E" w:rsidP="00AE5B0E">
      <w:pPr>
        <w:pStyle w:val="ListBullet2"/>
      </w:pPr>
      <w:r w:rsidRPr="00AE5B0E">
        <w:t>reading and interpreting standard operating</w:t>
      </w:r>
      <w:r w:rsidRPr="00AE5B0E">
        <w:t xml:space="preserve"> procedures, work instructions and data sheets</w:t>
      </w:r>
    </w:p>
    <w:p w:rsidR="00000000" w:rsidRPr="00AE5B0E" w:rsidP="00AE5B0E">
      <w:pPr>
        <w:pStyle w:val="AllowPageBreak"/>
      </w:pPr>
    </w:p>
    <w:p w:rsidR="00000000" w:rsidRPr="00AE5B0E" w:rsidP="00AE5B0E">
      <w:pPr>
        <w:pStyle w:val="Heading1"/>
      </w:pPr>
      <w:bookmarkStart w:id="3" w:name="O_691588"/>
      <w:bookmarkEnd w:id="3"/>
      <w:r w:rsidRPr="00AE5B0E">
        <w:t>Knowledge Evidence</w:t>
      </w:r>
    </w:p>
    <w:p w:rsidR="00000000" w:rsidRPr="00AE5B0E" w:rsidP="00707B03">
      <w:pPr>
        <w:pStyle w:val="BodyText"/>
      </w:pPr>
      <w:r w:rsidRPr="00AE5B0E">
        <w:t>The candidate must demonstrate knowledge of the following in applying the carry out deck operations through:</w:t>
      </w:r>
    </w:p>
    <w:p w:rsidR="00000000" w:rsidRPr="00AE5B0E" w:rsidP="00AE5B0E">
      <w:pPr>
        <w:pStyle w:val="ListBullet"/>
      </w:pPr>
      <w:r w:rsidRPr="00AE5B0E">
        <w:t>completeing deck operations</w:t>
      </w:r>
    </w:p>
    <w:p w:rsidR="00000000" w:rsidRPr="00AE5B0E" w:rsidP="00AE5B0E">
      <w:pPr>
        <w:pStyle w:val="ListBullet"/>
      </w:pPr>
      <w:r w:rsidRPr="00AE5B0E">
        <w:t>applying company and statutory safety guidelines, procedures and practices</w:t>
      </w:r>
    </w:p>
    <w:p w:rsidR="00000000" w:rsidRPr="00AE5B0E" w:rsidP="00AE5B0E">
      <w:pPr>
        <w:pStyle w:val="ListBullet"/>
      </w:pPr>
      <w:r w:rsidRPr="00AE5B0E">
        <w:t>applying safe operating procedures</w:t>
      </w:r>
    </w:p>
    <w:p w:rsidR="00000000" w:rsidRPr="00AE5B0E" w:rsidP="00AE5B0E">
      <w:pPr>
        <w:pStyle w:val="ListBullet"/>
      </w:pPr>
      <w:r w:rsidRPr="00AE5B0E">
        <w:t>using equipment operations</w:t>
      </w:r>
    </w:p>
    <w:p w:rsidR="00000000" w:rsidRPr="00AE5B0E" w:rsidP="00AE5B0E">
      <w:pPr>
        <w:pStyle w:val="ListBullet"/>
      </w:pPr>
      <w:r w:rsidRPr="00AE5B0E">
        <w:t>following reporting procedures</w:t>
      </w:r>
    </w:p>
    <w:p w:rsidR="00000000" w:rsidRPr="00AE5B0E" w:rsidP="00AE5B0E">
      <w:pPr>
        <w:pStyle w:val="ListBullet"/>
      </w:pPr>
      <w:r w:rsidRPr="00AE5B0E">
        <w:t>understanding reasons for identification and care of samples including storage and trans</w:t>
      </w:r>
      <w:r w:rsidRPr="00AE5B0E">
        <w:t>port</w:t>
      </w:r>
    </w:p>
    <w:p w:rsidR="00000000" w:rsidRPr="00AE5B0E" w:rsidP="00AE5B0E">
      <w:pPr>
        <w:pStyle w:val="ListBullet"/>
      </w:pPr>
      <w:r w:rsidRPr="00AE5B0E">
        <w:t xml:space="preserve">complying with occupational health, safety and environment requirements and procedures </w:t>
      </w:r>
    </w:p>
    <w:p w:rsidR="00000000" w:rsidRPr="00AE5B0E" w:rsidP="00AE5B0E">
      <w:pPr>
        <w:pStyle w:val="ListBullet"/>
      </w:pPr>
      <w:r w:rsidRPr="00AE5B0E">
        <w:t>using of safety data sheet (SDS)</w:t>
      </w:r>
    </w:p>
    <w:p w:rsidR="00000000" w:rsidRPr="00AE5B0E" w:rsidP="00AE5B0E">
      <w:pPr>
        <w:pStyle w:val="AllowPageBreak"/>
      </w:pPr>
    </w:p>
    <w:p w:rsidR="00000000" w:rsidRPr="00AE5B0E" w:rsidP="00AE5B0E">
      <w:pPr>
        <w:pStyle w:val="Heading1"/>
      </w:pPr>
      <w:bookmarkStart w:id="4" w:name="O_691587"/>
      <w:bookmarkEnd w:id="4"/>
      <w:r w:rsidRPr="00AE5B0E">
        <w:t>Assessment Conditions</w:t>
      </w:r>
    </w:p>
    <w:p w:rsidR="00000000" w:rsidRPr="00AE5B0E" w:rsidP="00AE5B0E">
      <w:pPr>
        <w:pStyle w:val="ListBullet"/>
      </w:pPr>
      <w:r w:rsidRPr="00AE5B0E">
        <w:t>An assessor of this unit must satisfy the requirements of the NVR/AQTF or their successors</w:t>
      </w:r>
      <w:r w:rsidRPr="00AE5B0E">
        <w:t xml:space="preserve">; and Industry regulations for certification and licensing; and, </w:t>
      </w:r>
    </w:p>
    <w:p w:rsidR="00000000" w:rsidRPr="00AE5B0E" w:rsidP="00AE5B0E">
      <w:pPr>
        <w:pStyle w:val="ListBullet"/>
      </w:pPr>
      <w:r w:rsidRPr="00AE5B0E">
        <w:t>this unit must be assessed in the context of this sector’s work environment; and,</w:t>
      </w:r>
    </w:p>
    <w:p w:rsidR="00000000" w:rsidRPr="00AE5B0E" w:rsidP="00AE5B0E">
      <w:pPr>
        <w:pStyle w:val="ListBullet"/>
      </w:pPr>
      <w:r w:rsidRPr="00AE5B0E">
        <w:t>this unit must be assessed in compliance with relevant legislation/regulation and using policies, procedures</w:t>
      </w:r>
      <w:r w:rsidRPr="00AE5B0E">
        <w:t>, processes and operational manuals directly related to the industry sector for which it is being assessed; and,</w:t>
      </w:r>
    </w:p>
    <w:p w:rsidR="00000000" w:rsidRPr="00AE5B0E" w:rsidP="00AE5B0E">
      <w:pPr>
        <w:pStyle w:val="ListBullet"/>
      </w:pPr>
      <w:r w:rsidRPr="00AE5B0E">
        <w:t>assessment may be conducted in conjunction with the assessment of other Units of Competency; and,</w:t>
      </w:r>
    </w:p>
    <w:p w:rsidR="00000000" w:rsidRPr="00AE5B0E" w:rsidP="00AE5B0E">
      <w:pPr>
        <w:pStyle w:val="ListBullet"/>
      </w:pPr>
      <w:r w:rsidRPr="00AE5B0E">
        <w:t>assessment must confirm consistent performanc</w:t>
      </w:r>
      <w:r w:rsidRPr="00AE5B0E">
        <w:t>e can be applied in a range of relevant workplace circumstances; and,</w:t>
      </w:r>
    </w:p>
    <w:p w:rsidR="00000000" w:rsidRPr="00AE5B0E" w:rsidP="00AE5B0E">
      <w:pPr>
        <w:pStyle w:val="ListBullet"/>
      </w:pPr>
      <w:r w:rsidRPr="00AE5B0E">
        <w:t>assessors must demonstrate the performance evidence, and knowledge evidence as outlined in this Unit of Competency, and through the minimum years of current* work experience specified be</w:t>
      </w:r>
      <w:r w:rsidRPr="00AE5B0E">
        <w:t>low in an Industry sector relevant to the outcomes of the unit; or,</w:t>
      </w:r>
    </w:p>
    <w:p w:rsidR="00000000" w:rsidRPr="00AE5B0E" w:rsidP="00AE5B0E">
      <w:pPr>
        <w:pStyle w:val="ListBullet"/>
      </w:pPr>
      <w:r w:rsidRPr="00AE5B0E">
        <w:t>where the assessor does not meet experience requirements a co-assessment or partnership arrangement must exist between the qualified assessor and an Industry subject matter expert. The Ind</w:t>
      </w:r>
      <w:r w:rsidRPr="00AE5B0E">
        <w:t>ustry subject matter expert should hold the unit being assessed (or an equivalent unit) and/or demonstrate equivalence of skills and knowledge at the unit level. An Industry technical expert must also demonstrate skills and knowledge from the minimum years</w:t>
      </w:r>
      <w:r w:rsidRPr="00AE5B0E">
        <w:t xml:space="preserve"> of current work experience specified below in the Industry sector, including time spent in roles related to the unit being assessed; and,</w:t>
      </w:r>
    </w:p>
    <w:p w:rsidR="00000000" w:rsidRPr="00AE5B0E" w:rsidP="00AE5B0E">
      <w:pPr>
        <w:pStyle w:val="ListBullet"/>
      </w:pPr>
      <w:r w:rsidRPr="00AE5B0E">
        <w:t xml:space="preserve">assessor and Industry subject matter expert requirements differ depending on the Australian Qualifications Framework </w:t>
      </w:r>
      <w:r w:rsidRPr="00AE5B0E">
        <w:t>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E5B0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SubHeading1"/>
              <w:rPr>
                <w:lang w:val="en-NZ"/>
              </w:rPr>
            </w:pPr>
            <w:r w:rsidRPr="00AE5B0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SubHeading1"/>
              <w:rPr>
                <w:lang w:val="en-NZ"/>
              </w:rPr>
            </w:pPr>
            <w:r w:rsidRPr="00AE5B0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SubHeading1"/>
              <w:rPr>
                <w:lang w:val="en-NZ"/>
              </w:rPr>
            </w:pPr>
            <w:r w:rsidRPr="00AE5B0E">
              <w:t>Required assessor or Industry subject matter expert experience</w:t>
            </w:r>
          </w:p>
        </w:tc>
      </w:tr>
      <w:tr w:rsidTr="00AE5B0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 xml:space="preserve">Drilling, Metalliferous Mining, Coal </w:t>
            </w:r>
            <w:r w:rsidRPr="00AE5B0E">
              <w:t>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1 Year</w:t>
            </w:r>
          </w:p>
        </w:tc>
      </w:tr>
      <w:tr w:rsidTr="00AE5B0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2 Years</w:t>
            </w:r>
          </w:p>
        </w:tc>
      </w:tr>
      <w:tr w:rsidTr="00AE5B0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3 Years</w:t>
            </w:r>
          </w:p>
        </w:tc>
      </w:tr>
      <w:tr w:rsidTr="00AE5B0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5 Years</w:t>
            </w:r>
          </w:p>
        </w:tc>
      </w:tr>
      <w:tr w:rsidTr="00AE5B0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B0E">
            <w:pPr>
              <w:pStyle w:val="BodyText"/>
              <w:rPr>
                <w:lang w:val="en-NZ"/>
              </w:rPr>
            </w:pPr>
            <w:r w:rsidRPr="00AE5B0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5B0E" w:rsidP="00AE5B0E">
            <w:pPr>
              <w:pStyle w:val="BodyText"/>
            </w:pPr>
            <w:r w:rsidRPr="00AE5B0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E5B0E">
              <w:t>ndard is specified should comply with any relevant regulation.</w:t>
            </w:r>
          </w:p>
        </w:tc>
      </w:tr>
    </w:tbl>
    <w:p w:rsidR="00000000" w:rsidRPr="00AE5B0E" w:rsidP="00707B03">
      <w:pPr>
        <w:pStyle w:val="BodyText"/>
      </w:pPr>
      <w:r w:rsidRPr="00AE5B0E">
        <w:t xml:space="preserve">*Assessors can demonstrate current work experience through employment within Industry in a role relevant to the outcomes of the Unit; or, for external </w:t>
      </w:r>
      <w:r w:rsidRPr="00AE5B0E">
        <w:t>assessors this can be demonstrated through exposure to Industry by conducting frequent site assessments across various locations.</w:t>
      </w:r>
    </w:p>
    <w:p w:rsidR="00707B03" w:rsidP="00707B03">
      <w:pPr>
        <w:pStyle w:val="BodyText"/>
      </w:pPr>
      <w:r w:rsidRPr="00AE5B0E">
        <w:t>**Where a unit is being delivered outside of a Qualification the first numeric character in the Unit code should be considered</w:t>
      </w:r>
      <w:r w:rsidRPr="00AE5B0E">
        <w:t xml:space="preserve"> to indicate the AQF level</w:t>
      </w:r>
    </w:p>
    <w:p w:rsidR="00000000" w:rsidRPr="00AE5B0E" w:rsidP="00AE5B0E">
      <w:pPr>
        <w:pStyle w:val="Heading1"/>
      </w:pPr>
      <w:bookmarkStart w:id="5" w:name="O_691599"/>
      <w:bookmarkEnd w:id="5"/>
      <w:r w:rsidRPr="00AE5B0E">
        <w:t>Links</w:t>
      </w:r>
    </w:p>
    <w:p w:rsidR="00000000" w:rsidRPr="00AE5B0E" w:rsidP="00707B03">
      <w:pPr>
        <w:pStyle w:val="BodyText"/>
      </w:pPr>
      <w:r w:rsidRPr="00AE5B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31B7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E5B0E" w:rsidP="00AE5B0E"/>
    <w:sectPr w:rsidSect="00AE5B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E" w:rsidRPr="00707B03" w:rsidP="00707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03" w:rsidP="00AE5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B03" w:rsidP="00AE5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7B03" w:rsidP="00AE5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B0E" w:rsidRPr="00707B03" w:rsidP="00707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03" w:rsidRPr="002D2AF8" w:rsidP="00AE5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RIIOGF201D Carry out deck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07B03" w:rsidP="00AE5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0EA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F2E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64B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B0E"/>
  </w:style>
  <w:style w:type="character" w:customStyle="1" w:styleId="Heading1Char">
    <w:name w:val="Heading 1 Char"/>
    <w:basedOn w:val="DefaultParagraphFont"/>
    <w:link w:val="Heading1"/>
    <w:rsid w:val="00AE5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B0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E5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B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5B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5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E5B0E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AE5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B0E"/>
    <w:rPr>
      <w:b/>
      <w:spacing w:val="0"/>
    </w:rPr>
  </w:style>
  <w:style w:type="paragraph" w:customStyle="1" w:styleId="SuperTitle">
    <w:name w:val="SuperTitle"/>
    <w:basedOn w:val="Title"/>
    <w:rsid w:val="00AE5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B0E"/>
    <w:rPr>
      <w:i/>
    </w:rPr>
  </w:style>
  <w:style w:type="paragraph" w:styleId="Caption">
    <w:name w:val="caption"/>
    <w:basedOn w:val="BodyText"/>
    <w:next w:val="Normal"/>
    <w:qFormat/>
    <w:rsid w:val="00AE5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B0E"/>
  </w:style>
  <w:style w:type="paragraph" w:styleId="TableofFigures">
    <w:name w:val="table of figures"/>
    <w:basedOn w:val="Normal"/>
    <w:next w:val="Normal"/>
    <w:semiHidden/>
    <w:rsid w:val="00AE5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B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5B0E"/>
    <w:rPr>
      <w:rFonts w:ascii="Wingdings" w:hAnsi="Wingdings"/>
    </w:rPr>
  </w:style>
  <w:style w:type="paragraph" w:customStyle="1" w:styleId="TableHeading">
    <w:name w:val="Table Heading"/>
    <w:basedOn w:val="HeadingBase"/>
    <w:rsid w:val="00AE5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B0E"/>
    <w:rPr>
      <w:color w:val="0033CC"/>
      <w:u w:val="none"/>
    </w:rPr>
  </w:style>
  <w:style w:type="paragraph" w:customStyle="1" w:styleId="BodyTextRight">
    <w:name w:val="Body Text Right"/>
    <w:basedOn w:val="BodyText"/>
    <w:rsid w:val="00AE5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B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B0E"/>
    <w:rPr>
      <w:sz w:val="32"/>
    </w:rPr>
  </w:style>
  <w:style w:type="paragraph" w:customStyle="1" w:styleId="HeadingProcedure">
    <w:name w:val="Heading Procedure"/>
    <w:basedOn w:val="HeadingBase"/>
    <w:next w:val="Normal"/>
    <w:rsid w:val="00AE5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B0E"/>
    <w:pPr>
      <w:spacing w:before="60" w:after="60"/>
    </w:pPr>
  </w:style>
  <w:style w:type="paragraph" w:styleId="ListContinue">
    <w:name w:val="List Continue"/>
    <w:basedOn w:val="List"/>
    <w:rsid w:val="00AE5B0E"/>
    <w:pPr>
      <w:ind w:firstLine="0"/>
    </w:pPr>
  </w:style>
  <w:style w:type="paragraph" w:customStyle="1" w:styleId="ListNote">
    <w:name w:val="List Note"/>
    <w:basedOn w:val="List"/>
    <w:rsid w:val="00AE5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B0E"/>
    <w:rPr>
      <w:rFonts w:ascii="Courier New" w:hAnsi="Courier New"/>
    </w:rPr>
  </w:style>
  <w:style w:type="paragraph" w:customStyle="1" w:styleId="NoteBullet">
    <w:name w:val="Note Bullet"/>
    <w:basedOn w:val="Note"/>
    <w:rsid w:val="00AE5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B0E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E5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B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5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B0E"/>
    <w:rPr>
      <w:b/>
      <w:smallCaps/>
    </w:rPr>
  </w:style>
  <w:style w:type="paragraph" w:customStyle="1" w:styleId="TableListNumber">
    <w:name w:val="Table List Number"/>
    <w:basedOn w:val="ListNumber"/>
    <w:rsid w:val="00AE5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B0E"/>
    <w:pPr>
      <w:numPr>
        <w:numId w:val="9"/>
      </w:numPr>
    </w:pPr>
  </w:style>
  <w:style w:type="paragraph" w:customStyle="1" w:styleId="ListAlpha2">
    <w:name w:val="List Alpha 2"/>
    <w:basedOn w:val="List2"/>
    <w:rsid w:val="00AE5B0E"/>
    <w:pPr>
      <w:numPr>
        <w:numId w:val="8"/>
      </w:numPr>
    </w:pPr>
  </w:style>
  <w:style w:type="paragraph" w:styleId="List2">
    <w:name w:val="List 2"/>
    <w:basedOn w:val="BodyText"/>
    <w:rsid w:val="00AE5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B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B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5B0E"/>
    <w:pPr>
      <w:numPr>
        <w:numId w:val="4"/>
      </w:numPr>
    </w:pPr>
  </w:style>
  <w:style w:type="paragraph" w:styleId="ListContinue2">
    <w:name w:val="List Continue 2"/>
    <w:basedOn w:val="List2"/>
    <w:rsid w:val="00AE5B0E"/>
    <w:pPr>
      <w:ind w:firstLine="0"/>
    </w:pPr>
  </w:style>
  <w:style w:type="paragraph" w:styleId="ListContinue3">
    <w:name w:val="List Continue 3"/>
    <w:basedOn w:val="List3"/>
    <w:rsid w:val="00AE5B0E"/>
    <w:pPr>
      <w:ind w:left="1021" w:firstLine="0"/>
    </w:pPr>
  </w:style>
  <w:style w:type="paragraph" w:styleId="ListContinue4">
    <w:name w:val="List Continue 4"/>
    <w:basedOn w:val="List4"/>
    <w:rsid w:val="00AE5B0E"/>
    <w:pPr>
      <w:ind w:firstLine="0"/>
    </w:pPr>
  </w:style>
  <w:style w:type="paragraph" w:styleId="ListContinue5">
    <w:name w:val="List Continue 5"/>
    <w:basedOn w:val="List5"/>
    <w:rsid w:val="00AE5B0E"/>
    <w:pPr>
      <w:ind w:firstLine="0"/>
    </w:pPr>
  </w:style>
  <w:style w:type="paragraph" w:styleId="ListNumber3">
    <w:name w:val="List Number 3"/>
    <w:basedOn w:val="List3"/>
    <w:rsid w:val="00AE5B0E"/>
    <w:pPr>
      <w:numPr>
        <w:numId w:val="5"/>
      </w:numPr>
    </w:pPr>
  </w:style>
  <w:style w:type="paragraph" w:styleId="ListNumber4">
    <w:name w:val="List Number 4"/>
    <w:basedOn w:val="List4"/>
    <w:rsid w:val="00AE5B0E"/>
    <w:pPr>
      <w:numPr>
        <w:numId w:val="6"/>
      </w:numPr>
    </w:pPr>
  </w:style>
  <w:style w:type="paragraph" w:styleId="ListNumber5">
    <w:name w:val="List Number 5"/>
    <w:basedOn w:val="List5"/>
    <w:rsid w:val="00AE5B0E"/>
    <w:pPr>
      <w:numPr>
        <w:numId w:val="7"/>
      </w:numPr>
    </w:pPr>
  </w:style>
  <w:style w:type="paragraph" w:styleId="BlockText">
    <w:name w:val="Block Text"/>
    <w:basedOn w:val="Normal"/>
    <w:rsid w:val="00AE5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B0E"/>
    <w:rPr>
      <w:sz w:val="16"/>
      <w:vertAlign w:val="superscript"/>
    </w:rPr>
  </w:style>
  <w:style w:type="character" w:customStyle="1" w:styleId="Symbols">
    <w:name w:val="Symbols"/>
    <w:basedOn w:val="DefaultParagraphFont"/>
    <w:rsid w:val="00AE5B0E"/>
    <w:rPr>
      <w:rFonts w:ascii="Symbol" w:hAnsi="Symbol"/>
    </w:rPr>
  </w:style>
  <w:style w:type="character" w:customStyle="1" w:styleId="MenuOptions">
    <w:name w:val="Menu Options"/>
    <w:basedOn w:val="DefaultParagraphFont"/>
    <w:rsid w:val="00AE5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B0E"/>
    <w:rPr>
      <w:b/>
    </w:rPr>
  </w:style>
  <w:style w:type="character" w:customStyle="1" w:styleId="Underlined">
    <w:name w:val="Underlined"/>
    <w:basedOn w:val="DefaultParagraphFont"/>
    <w:rsid w:val="00AE5B0E"/>
    <w:rPr>
      <w:u w:val="single"/>
    </w:rPr>
  </w:style>
  <w:style w:type="paragraph" w:customStyle="1" w:styleId="TableBodyTextRight">
    <w:name w:val="Table Body Text Right"/>
    <w:basedOn w:val="TableBodyText"/>
    <w:rsid w:val="00AE5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B0E"/>
    <w:rPr>
      <w:sz w:val="18"/>
    </w:rPr>
  </w:style>
  <w:style w:type="paragraph" w:customStyle="1" w:styleId="BodySmallRight">
    <w:name w:val="Body Small Right"/>
    <w:basedOn w:val="BodyTextRight"/>
    <w:rsid w:val="00AE5B0E"/>
    <w:rPr>
      <w:sz w:val="18"/>
      <w:szCs w:val="18"/>
    </w:rPr>
  </w:style>
  <w:style w:type="paragraph" w:customStyle="1" w:styleId="MarginEdition">
    <w:name w:val="Margin Edition"/>
    <w:basedOn w:val="MarginNote"/>
    <w:rsid w:val="00AE5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B0E"/>
    <w:rPr>
      <w:sz w:val="2"/>
      <w:szCs w:val="2"/>
    </w:rPr>
  </w:style>
  <w:style w:type="character" w:customStyle="1" w:styleId="Small">
    <w:name w:val="Small"/>
    <w:basedOn w:val="DefaultParagraphFont"/>
    <w:rsid w:val="00AE5B0E"/>
    <w:rPr>
      <w:sz w:val="16"/>
    </w:rPr>
  </w:style>
  <w:style w:type="paragraph" w:customStyle="1" w:styleId="WideTable">
    <w:name w:val="Wide Table"/>
    <w:basedOn w:val="Normal"/>
    <w:rsid w:val="00AE5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B0E"/>
  </w:style>
  <w:style w:type="paragraph" w:styleId="Quote">
    <w:name w:val="Quote"/>
    <w:basedOn w:val="Heading1"/>
    <w:link w:val="QuoteChar"/>
    <w:qFormat/>
    <w:rsid w:val="00AE5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B0E"/>
    <w:pPr>
      <w:pageBreakBefore/>
    </w:pPr>
  </w:style>
  <w:style w:type="paragraph" w:customStyle="1" w:styleId="Border">
    <w:name w:val="Border"/>
    <w:basedOn w:val="Normal"/>
    <w:qFormat/>
    <w:rsid w:val="00AE5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B0E"/>
    <w:rPr>
      <w:u w:val="single"/>
    </w:rPr>
  </w:style>
  <w:style w:type="character" w:customStyle="1" w:styleId="BoldandItalics">
    <w:name w:val="Bold and Italics"/>
    <w:qFormat/>
    <w:rsid w:val="00AE5B0E"/>
    <w:rPr>
      <w:b/>
      <w:i/>
      <w:u w:val="none"/>
    </w:rPr>
  </w:style>
  <w:style w:type="paragraph" w:styleId="BalloonText">
    <w:name w:val="Balloon Text"/>
    <w:basedOn w:val="Normal"/>
    <w:link w:val="BalloonTextChar"/>
    <w:rsid w:val="00AE5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B0E"/>
    <w:pPr>
      <w:spacing w:before="0" w:after="0"/>
    </w:pPr>
  </w:style>
  <w:style w:type="paragraph" w:customStyle="1" w:styleId="BodyTextBold">
    <w:name w:val="Body Text Bold"/>
    <w:basedOn w:val="BodyText"/>
    <w:qFormat/>
    <w:rsid w:val="00AE5B0E"/>
    <w:rPr>
      <w:b/>
    </w:rPr>
  </w:style>
  <w:style w:type="character" w:styleId="Hyperlink">
    <w:name w:val="Hyperlink"/>
    <w:basedOn w:val="DefaultParagraphFont"/>
    <w:uiPriority w:val="99"/>
    <w:unhideWhenUsed/>
    <w:rsid w:val="00707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4893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RIIOGF201D Carry out deck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2021-01-25T11:51:00Z</dcterms:created>
  <dcterms:modified xsi:type="dcterms:W3CDTF">2021-01-25T11:51:00Z</dcterms:modified>
</cp:coreProperties>
</file>