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AFD" w:rsidP="00F74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RIIOGD507D Manage and monitor rig-up and rig-up to spud operations</w:t>
      </w:r>
      <w:r>
        <w:fldChar w:fldCharType="end"/>
      </w:r>
    </w:p>
    <w:p w:rsidR="00F74AFD" w:rsidP="00F74AFD">
      <w:pPr>
        <w:pStyle w:val="Version"/>
        <w:sectPr w:rsidSect="002D5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D5E89" w:rsidP="002D5E89">
      <w:pPr>
        <w:pStyle w:val="SuperHeading"/>
      </w:pPr>
      <w:r w:rsidRPr="002D5E89">
        <w:t>Assessment Requirements for RIIOGD507D Manage and monitor rig-up and rig-up to spud operations</w:t>
      </w:r>
    </w:p>
    <w:p w:rsidR="00000000" w:rsidRPr="002D5E89" w:rsidP="002D5E89">
      <w:pPr>
        <w:pStyle w:val="Heading1"/>
      </w:pPr>
      <w:bookmarkStart w:id="1" w:name="O_691530"/>
      <w:bookmarkEnd w:id="1"/>
      <w:r w:rsidRPr="002D5E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74A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Heading4"/>
              <w:rPr>
                <w:lang w:val="en-NZ"/>
              </w:rPr>
            </w:pPr>
            <w:r w:rsidRPr="002D5E8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Heading4"/>
              <w:rPr>
                <w:lang w:val="en-NZ"/>
              </w:rPr>
            </w:pPr>
            <w:r w:rsidRPr="002D5E89">
              <w:t>Comment</w:t>
            </w:r>
          </w:p>
        </w:tc>
      </w:tr>
      <w:tr w:rsidTr="00F74A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This unit replaces RIIOGD507A Manage and monitor rig-up and rig-up to spud operations</w:t>
            </w:r>
          </w:p>
        </w:tc>
      </w:tr>
      <w:tr w:rsidTr="00F74A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Performance Criteria amended to make requirements more explicit.</w:t>
            </w:r>
          </w:p>
        </w:tc>
      </w:tr>
      <w:tr w:rsidTr="00F74A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E89" w:rsidP="002D5E89">
            <w:pPr>
              <w:pStyle w:val="BodyText"/>
            </w:pPr>
            <w:r w:rsidRPr="002D5E89">
              <w:t>Required frequency and volume of evidence amended in Performance evidence.</w:t>
            </w:r>
          </w:p>
          <w:p w:rsidR="00000000" w:rsidRPr="002D5E89" w:rsidP="002D5E89">
            <w:pPr>
              <w:pStyle w:val="BodyText"/>
            </w:pPr>
            <w:r w:rsidRPr="002D5E8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D5E89" w:rsidP="002D5E89">
      <w:pPr>
        <w:pStyle w:val="BodyText"/>
      </w:pPr>
    </w:p>
    <w:p w:rsidR="00000000" w:rsidRPr="002D5E89" w:rsidP="002D5E89">
      <w:pPr>
        <w:pStyle w:val="AllowPageBreak"/>
      </w:pPr>
    </w:p>
    <w:p w:rsidR="00000000" w:rsidRPr="002D5E89" w:rsidP="002D5E89">
      <w:pPr>
        <w:pStyle w:val="Heading1"/>
      </w:pPr>
      <w:bookmarkStart w:id="2" w:name="O_691529"/>
      <w:bookmarkEnd w:id="2"/>
      <w:r w:rsidRPr="002D5E89">
        <w:t>Performance</w:t>
      </w:r>
      <w:r w:rsidRPr="002D5E89">
        <w:t xml:space="preserve"> Evidence</w:t>
      </w:r>
    </w:p>
    <w:p w:rsidR="00000000" w:rsidRPr="002D5E89" w:rsidP="00F74AFD">
      <w:pPr>
        <w:pStyle w:val="BodyText"/>
      </w:pPr>
      <w:r w:rsidRPr="002D5E89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2D5E89">
        <w:t xml:space="preserve"> and include evidence that the candidate:</w:t>
      </w:r>
    </w:p>
    <w:p w:rsidR="00000000" w:rsidRPr="002D5E89" w:rsidP="002D5E89">
      <w:pPr>
        <w:pStyle w:val="ListBullet"/>
      </w:pPr>
      <w:r w:rsidRPr="002D5E89">
        <w:t>locates and applies relevant documentation, policies and procedures</w:t>
      </w:r>
    </w:p>
    <w:p w:rsidR="00000000" w:rsidRPr="002D5E89" w:rsidP="002D5E89">
      <w:pPr>
        <w:pStyle w:val="ListBullet"/>
      </w:pPr>
      <w:r w:rsidRPr="002D5E89">
        <w:t>implements the requirements, procedures and techniques for the safe, effective and efficient completion of management and monitoring of rig-up and rig-up to spud operations including:</w:t>
      </w:r>
    </w:p>
    <w:p w:rsidR="00000000" w:rsidRPr="002D5E89" w:rsidP="002D5E89">
      <w:pPr>
        <w:pStyle w:val="ListBullet2"/>
      </w:pPr>
      <w:r w:rsidRPr="002D5E89">
        <w:t>identifying, addressing and reporting potential hazards and risks</w:t>
      </w:r>
    </w:p>
    <w:p w:rsidR="00000000" w:rsidRPr="002D5E89" w:rsidP="002D5E89">
      <w:pPr>
        <w:pStyle w:val="ListBullet2"/>
      </w:pPr>
      <w:r w:rsidRPr="002D5E89">
        <w:t>contr</w:t>
      </w:r>
      <w:r w:rsidRPr="002D5E89">
        <w:t xml:space="preserve">olling identified hazards </w:t>
      </w:r>
    </w:p>
    <w:p w:rsidR="00000000" w:rsidRPr="002D5E89" w:rsidP="002D5E89">
      <w:pPr>
        <w:pStyle w:val="ListBullet2"/>
      </w:pPr>
      <w:r w:rsidRPr="002D5E89">
        <w:t>identifying, addressing and reporting environmental issues</w:t>
      </w:r>
    </w:p>
    <w:p w:rsidR="00000000" w:rsidRPr="002D5E89" w:rsidP="002D5E89">
      <w:pPr>
        <w:pStyle w:val="ListBullet2"/>
      </w:pPr>
      <w:r w:rsidRPr="002D5E89">
        <w:t>preparing written records and reports</w:t>
      </w:r>
    </w:p>
    <w:p w:rsidR="00000000" w:rsidRPr="002D5E89" w:rsidP="002D5E89">
      <w:pPr>
        <w:pStyle w:val="ListBullet2"/>
      </w:pPr>
      <w:r w:rsidRPr="002D5E89">
        <w:t xml:space="preserve">undertaking inspections for compliance </w:t>
      </w:r>
    </w:p>
    <w:p w:rsidR="00000000" w:rsidRPr="002D5E89" w:rsidP="002D5E89">
      <w:pPr>
        <w:pStyle w:val="ListBullet"/>
      </w:pPr>
      <w:r w:rsidRPr="002D5E89">
        <w:t>works effectively with others to undertake and complete the managing and monitoring of rig-</w:t>
      </w:r>
      <w:r w:rsidRPr="002D5E89">
        <w:t>up and rig-up to spud operations to meet all required outcomes including:</w:t>
      </w:r>
    </w:p>
    <w:p w:rsidR="00000000" w:rsidRPr="002D5E89" w:rsidP="002D5E89">
      <w:pPr>
        <w:pStyle w:val="ListBullet2"/>
      </w:pPr>
      <w:r w:rsidRPr="002D5E89">
        <w:t>communicating clearly and concisely with others to receive, give and clarify work instructions</w:t>
      </w:r>
    </w:p>
    <w:p w:rsidR="00000000" w:rsidRPr="002D5E89" w:rsidP="002D5E89">
      <w:pPr>
        <w:pStyle w:val="ListBullet2"/>
      </w:pPr>
      <w:r w:rsidRPr="002D5E89">
        <w:t>preparing for, organising and assigning work activities to meet all task requirements</w:t>
      </w:r>
    </w:p>
    <w:p w:rsidR="00000000" w:rsidRPr="002D5E89" w:rsidP="002D5E89">
      <w:pPr>
        <w:pStyle w:val="ListBullet2"/>
      </w:pPr>
      <w:r w:rsidRPr="002D5E89">
        <w:t xml:space="preserve">establishing and maintaining coordination with others relating to the work activity </w:t>
      </w:r>
    </w:p>
    <w:p w:rsidR="00000000" w:rsidRPr="002D5E89" w:rsidP="002D5E89">
      <w:pPr>
        <w:pStyle w:val="ListBullet2"/>
      </w:pPr>
      <w:r w:rsidRPr="002D5E89">
        <w:t>complying with written and verbal reporting requirements</w:t>
      </w:r>
    </w:p>
    <w:p w:rsidR="00000000" w:rsidRPr="002D5E89" w:rsidP="002D5E89">
      <w:pPr>
        <w:pStyle w:val="ListBullet"/>
      </w:pPr>
      <w:r w:rsidRPr="002D5E89">
        <w:t>demonstrates completion of management and monitoring of rig-up and rig-up to spud operations that safely, effecti</w:t>
      </w:r>
      <w:r w:rsidRPr="002D5E89">
        <w:t>vely and efficiently meets all of the required outcomes on more than one (1) occasion including:</w:t>
      </w:r>
    </w:p>
    <w:p w:rsidR="00000000" w:rsidRPr="002D5E89" w:rsidP="002D5E89">
      <w:pPr>
        <w:pStyle w:val="ListBullet2"/>
      </w:pPr>
      <w:r w:rsidRPr="002D5E89">
        <w:t>assessing rig up and rig up to spud program</w:t>
      </w:r>
    </w:p>
    <w:p w:rsidR="00000000" w:rsidRPr="002D5E89" w:rsidP="002D5E89">
      <w:pPr>
        <w:pStyle w:val="ListBullet2"/>
      </w:pPr>
      <w:r w:rsidRPr="002D5E89">
        <w:t>supervising spotting and rig assembly and rectifying performance issues</w:t>
      </w:r>
    </w:p>
    <w:p w:rsidR="00000000" w:rsidRPr="002D5E89" w:rsidP="002D5E89">
      <w:pPr>
        <w:pStyle w:val="ListBullet2"/>
      </w:pPr>
      <w:r w:rsidRPr="002D5E89">
        <w:t>arranging and supervising engine power sta</w:t>
      </w:r>
      <w:r w:rsidRPr="002D5E89">
        <w:t>rt-up</w:t>
      </w:r>
    </w:p>
    <w:p w:rsidR="00000000" w:rsidRPr="002D5E89" w:rsidP="002D5E89">
      <w:pPr>
        <w:pStyle w:val="ListBullet2"/>
      </w:pPr>
      <w:r w:rsidRPr="002D5E89">
        <w:t>supervising and monitoring preparations to spud</w:t>
      </w:r>
    </w:p>
    <w:p w:rsidR="00000000" w:rsidRPr="002D5E89" w:rsidP="002D5E89">
      <w:pPr>
        <w:pStyle w:val="ListBullet2"/>
      </w:pPr>
      <w:r w:rsidRPr="002D5E89">
        <w:t>carry out pipe installation and establish and monitor circulation</w:t>
      </w:r>
    </w:p>
    <w:p w:rsidR="00000000" w:rsidRPr="002D5E89" w:rsidP="002D5E89">
      <w:pPr>
        <w:pStyle w:val="ListBullet2"/>
      </w:pPr>
      <w:r w:rsidRPr="002D5E89">
        <w:t xml:space="preserve">issue permits and work orders </w:t>
      </w:r>
    </w:p>
    <w:p w:rsidR="00000000" w:rsidRPr="002D5E89" w:rsidP="002D5E89">
      <w:pPr>
        <w:pStyle w:val="ListBullet2"/>
      </w:pPr>
      <w:r w:rsidRPr="002D5E89">
        <w:t>troubleshoot breakdowns</w:t>
      </w:r>
    </w:p>
    <w:p w:rsidR="00000000" w:rsidRPr="002D5E89" w:rsidP="002D5E89">
      <w:pPr>
        <w:pStyle w:val="AllowPageBreak"/>
      </w:pPr>
    </w:p>
    <w:p w:rsidR="00000000" w:rsidRPr="002D5E89" w:rsidP="002D5E89">
      <w:pPr>
        <w:pStyle w:val="Heading1"/>
      </w:pPr>
      <w:bookmarkStart w:id="3" w:name="O_691528"/>
      <w:bookmarkEnd w:id="3"/>
      <w:r w:rsidRPr="002D5E89">
        <w:t>Knowledge Evidence</w:t>
      </w:r>
    </w:p>
    <w:p w:rsidR="00000000" w:rsidRPr="002D5E89" w:rsidP="00F74AFD">
      <w:pPr>
        <w:pStyle w:val="BodyText"/>
      </w:pPr>
      <w:r w:rsidRPr="002D5E89">
        <w:t>The candidate must demonstrate knowledge in managing and monitoring rig-up and rig-up to spud operations through:</w:t>
      </w:r>
    </w:p>
    <w:p w:rsidR="00000000" w:rsidRPr="002D5E89" w:rsidP="002D5E89">
      <w:pPr>
        <w:pStyle w:val="ListBullet"/>
      </w:pPr>
      <w:r w:rsidRPr="002D5E89">
        <w:t>accessing, interpreting and applying legislative, organisation and site requirements and procedures for:</w:t>
      </w:r>
    </w:p>
    <w:p w:rsidR="00000000" w:rsidRPr="002D5E89" w:rsidP="002D5E89">
      <w:pPr>
        <w:pStyle w:val="ListBullet2"/>
      </w:pPr>
      <w:r w:rsidRPr="002D5E89">
        <w:t>identifying and managing risks</w:t>
      </w:r>
    </w:p>
    <w:p w:rsidR="00000000" w:rsidRPr="002D5E89" w:rsidP="002D5E89">
      <w:pPr>
        <w:pStyle w:val="ListBullet2"/>
      </w:pPr>
      <w:r w:rsidRPr="002D5E89">
        <w:t>iden</w:t>
      </w:r>
      <w:r w:rsidRPr="002D5E89">
        <w:t xml:space="preserve">tifying, addressing and reporting environmental issues </w:t>
      </w:r>
    </w:p>
    <w:p w:rsidR="00000000" w:rsidRPr="002D5E89" w:rsidP="002D5E89">
      <w:pPr>
        <w:pStyle w:val="ListBullet2"/>
      </w:pPr>
      <w:r w:rsidRPr="002D5E89">
        <w:t>setting up work activity</w:t>
      </w:r>
    </w:p>
    <w:p w:rsidR="00000000" w:rsidRPr="002D5E89" w:rsidP="002D5E89">
      <w:pPr>
        <w:pStyle w:val="ListBullet2"/>
      </w:pPr>
      <w:r w:rsidRPr="002D5E89">
        <w:t>work health and safety</w:t>
      </w:r>
    </w:p>
    <w:p w:rsidR="00000000" w:rsidRPr="002D5E89" w:rsidP="002D5E89">
      <w:pPr>
        <w:pStyle w:val="ListBullet2"/>
      </w:pPr>
      <w:r w:rsidRPr="002D5E89">
        <w:t xml:space="preserve">identifying and correcting operational anomalies </w:t>
      </w:r>
    </w:p>
    <w:p w:rsidR="00000000" w:rsidRPr="002D5E89" w:rsidP="002D5E89">
      <w:pPr>
        <w:pStyle w:val="ListBullet2"/>
      </w:pPr>
      <w:r w:rsidRPr="002D5E89">
        <w:t>selecting and checking for faults, all plant, tools and equipment to carry out tasks</w:t>
      </w:r>
    </w:p>
    <w:p w:rsidR="00000000" w:rsidRPr="002D5E89" w:rsidP="002D5E89">
      <w:pPr>
        <w:pStyle w:val="ListBullet"/>
      </w:pPr>
      <w:r w:rsidRPr="002D5E89">
        <w:t xml:space="preserve">supervising rigging and dogging practices </w:t>
      </w:r>
    </w:p>
    <w:p w:rsidR="00000000" w:rsidRPr="002D5E89" w:rsidP="002D5E89">
      <w:pPr>
        <w:pStyle w:val="ListBullet"/>
      </w:pPr>
      <w:r w:rsidRPr="002D5E89">
        <w:t xml:space="preserve">following specific auxiliary rig up sequence </w:t>
      </w:r>
    </w:p>
    <w:p w:rsidR="00000000" w:rsidRPr="002D5E89" w:rsidP="002D5E89">
      <w:pPr>
        <w:pStyle w:val="ListBullet"/>
      </w:pPr>
      <w:r w:rsidRPr="002D5E89">
        <w:t>preventative maintenance</w:t>
      </w:r>
    </w:p>
    <w:p w:rsidR="00000000" w:rsidRPr="002D5E89" w:rsidP="002D5E89">
      <w:pPr>
        <w:pStyle w:val="AllowPageBreak"/>
      </w:pPr>
    </w:p>
    <w:p w:rsidR="00000000" w:rsidRPr="002D5E89" w:rsidP="002D5E89">
      <w:pPr>
        <w:pStyle w:val="Heading1"/>
      </w:pPr>
      <w:bookmarkStart w:id="4" w:name="O_691527"/>
      <w:bookmarkEnd w:id="4"/>
      <w:r w:rsidRPr="002D5E89">
        <w:t>Assessment Conditions</w:t>
      </w:r>
    </w:p>
    <w:p w:rsidR="00000000" w:rsidRPr="002D5E89" w:rsidP="002D5E89">
      <w:pPr>
        <w:pStyle w:val="ListBullet"/>
      </w:pPr>
      <w:r w:rsidRPr="002D5E89">
        <w:t>An assessor of this unit must satisfy the requirements of the NVR/AQTF or their successors; and Indust</w:t>
      </w:r>
      <w:r w:rsidRPr="002D5E89">
        <w:t xml:space="preserve">ry regulations for certification and licensing; and, </w:t>
      </w:r>
    </w:p>
    <w:p w:rsidR="00000000" w:rsidRPr="002D5E89" w:rsidP="002D5E89">
      <w:pPr>
        <w:pStyle w:val="ListBullet"/>
      </w:pPr>
      <w:r w:rsidRPr="002D5E89">
        <w:t>this unit must be assessed in the context of this sector’s work environment; and,</w:t>
      </w:r>
    </w:p>
    <w:p w:rsidR="00000000" w:rsidRPr="002D5E89" w:rsidP="002D5E89">
      <w:pPr>
        <w:pStyle w:val="ListBullet"/>
      </w:pPr>
      <w:r w:rsidRPr="002D5E89">
        <w:t xml:space="preserve">this unit must be assessed in compliance with relevant legislation/regulation and using policies, procedures, processes </w:t>
      </w:r>
      <w:r w:rsidRPr="002D5E89">
        <w:t>and operational manuals directly related to the industry sector for which it is being assessed; and,</w:t>
      </w:r>
    </w:p>
    <w:p w:rsidR="00000000" w:rsidRPr="002D5E89" w:rsidP="002D5E89">
      <w:pPr>
        <w:pStyle w:val="ListBullet"/>
      </w:pPr>
      <w:r w:rsidRPr="002D5E89">
        <w:t>assessment may be conducted in conjunction with the assessment of other Units of Competency; and,</w:t>
      </w:r>
    </w:p>
    <w:p w:rsidR="00000000" w:rsidRPr="002D5E89" w:rsidP="002D5E89">
      <w:pPr>
        <w:pStyle w:val="ListBullet"/>
      </w:pPr>
      <w:r w:rsidRPr="002D5E89">
        <w:t>assessment must confirm consistent performance can be app</w:t>
      </w:r>
      <w:r w:rsidRPr="002D5E89">
        <w:t>lied in a range of relevant workplace circumstances; and,</w:t>
      </w:r>
    </w:p>
    <w:p w:rsidR="00000000" w:rsidRPr="002D5E89" w:rsidP="002D5E89">
      <w:pPr>
        <w:pStyle w:val="ListBullet"/>
      </w:pPr>
      <w:r w:rsidRPr="002D5E89">
        <w:t>assessors must demonstrate the performance evidence, and knowledge evidence as outlined in this Unit of Competency, and through the minimum years of current* work experience specified below in an In</w:t>
      </w:r>
      <w:r w:rsidRPr="002D5E89">
        <w:t>dustry sector relevant to the outcomes of the unit; or,</w:t>
      </w:r>
    </w:p>
    <w:p w:rsidR="00000000" w:rsidRPr="002D5E89" w:rsidP="002D5E89">
      <w:pPr>
        <w:pStyle w:val="ListBullet"/>
      </w:pPr>
      <w:r w:rsidRPr="002D5E89">
        <w:t>where the assessor does not meet experience requirements a co-assessment or partnership arrangement must exist between the qualified assessor and an Industry subject matter expert. The Industry subjec</w:t>
      </w:r>
      <w:r w:rsidRPr="002D5E89">
        <w:t xml:space="preserve">t matter expert should hold the unit being assessed (or an equivalent unit) and/or demonstrate equivalence of skills and knowledge at the unit level. An Industry technical expert must also demonstrate skills and knowledge from the minimum years of current </w:t>
      </w:r>
      <w:r w:rsidRPr="002D5E89">
        <w:t>work experience specified below in the Industry sector, including time spent in roles related to the unit being assessed; and,</w:t>
      </w:r>
    </w:p>
    <w:p w:rsidR="00000000" w:rsidRPr="002D5E89" w:rsidP="002D5E89">
      <w:pPr>
        <w:pStyle w:val="ListBullet"/>
      </w:pPr>
      <w:r w:rsidRPr="002D5E89">
        <w:t xml:space="preserve">assessor and Industry subject matter expert requirements differ depending on the Australian Qualifications Framework Level (AQF) </w:t>
      </w:r>
      <w:r w:rsidRPr="002D5E89">
        <w:t>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D5E8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SubHeading1"/>
              <w:rPr>
                <w:lang w:val="en-NZ"/>
              </w:rPr>
            </w:pPr>
            <w:r w:rsidRPr="002D5E8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SubHeading1"/>
              <w:rPr>
                <w:lang w:val="en-NZ"/>
              </w:rPr>
            </w:pPr>
            <w:r w:rsidRPr="002D5E8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SubHeading1"/>
              <w:rPr>
                <w:lang w:val="en-NZ"/>
              </w:rPr>
            </w:pPr>
            <w:r w:rsidRPr="002D5E89">
              <w:t>Required assessor or Industry subject matter expert experience</w:t>
            </w:r>
          </w:p>
        </w:tc>
      </w:tr>
      <w:tr w:rsidTr="002D5E8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1 Year</w:t>
            </w:r>
          </w:p>
        </w:tc>
      </w:tr>
      <w:tr w:rsidTr="002D5E8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2 Years</w:t>
            </w:r>
          </w:p>
        </w:tc>
      </w:tr>
      <w:tr w:rsidTr="002D5E8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3 Years</w:t>
            </w:r>
          </w:p>
        </w:tc>
      </w:tr>
      <w:tr w:rsidTr="002D5E8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5 Years</w:t>
            </w:r>
          </w:p>
        </w:tc>
      </w:tr>
      <w:tr w:rsidTr="002D5E8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E89">
            <w:pPr>
              <w:pStyle w:val="BodyText"/>
              <w:rPr>
                <w:lang w:val="en-NZ"/>
              </w:rPr>
            </w:pPr>
            <w:r w:rsidRPr="002D5E8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E89" w:rsidP="002D5E89">
            <w:pPr>
              <w:pStyle w:val="BodyText"/>
            </w:pPr>
            <w:r w:rsidRPr="002D5E8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D5E89">
              <w:t>ndard is specified should comply with any relevant regulation.</w:t>
            </w:r>
          </w:p>
        </w:tc>
      </w:tr>
    </w:tbl>
    <w:p w:rsidR="00000000" w:rsidRPr="002D5E89" w:rsidP="00F74AFD">
      <w:pPr>
        <w:pStyle w:val="BodyText"/>
      </w:pPr>
      <w:r w:rsidRPr="002D5E89">
        <w:t xml:space="preserve">*Assessors can demonstrate current work experience through employment within Industry in a role relevant to the outcomes of the Unit; or, for external </w:t>
      </w:r>
      <w:r w:rsidRPr="002D5E89">
        <w:t>assessors this can be demonstrated through exposure to Industry by conducting frequent site assessments across various locations.</w:t>
      </w:r>
    </w:p>
    <w:p w:rsidR="00000000" w:rsidRPr="002D5E89" w:rsidP="00F74AFD">
      <w:pPr>
        <w:pStyle w:val="BodyText"/>
      </w:pPr>
      <w:r w:rsidRPr="002D5E89">
        <w:t>**Where a unit is being delivered outside of a Qualification the first numeric character in the Unit code should be considered</w:t>
      </w:r>
      <w:r w:rsidRPr="002D5E89">
        <w:t xml:space="preserve"> to indicate the AQF level</w:t>
      </w:r>
    </w:p>
    <w:p w:rsidR="00000000" w:rsidRPr="002D5E89" w:rsidP="002D5E89">
      <w:pPr>
        <w:pStyle w:val="Heading1"/>
      </w:pPr>
      <w:bookmarkStart w:id="5" w:name="O_691539"/>
      <w:bookmarkEnd w:id="5"/>
      <w:r w:rsidRPr="002D5E89">
        <w:t>Links</w:t>
      </w:r>
    </w:p>
    <w:p w:rsidR="00000000" w:rsidRPr="002D5E89" w:rsidP="00F74AFD">
      <w:pPr>
        <w:pStyle w:val="BodyText"/>
      </w:pPr>
      <w:r w:rsidRPr="002D5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E043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5E89" w:rsidP="002D5E89"/>
    <w:sectPr w:rsidSect="002D5E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89" w:rsidRPr="00F74AFD" w:rsidP="00F74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FD" w:rsidP="002D5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4AFD" w:rsidP="002D5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4AFD" w:rsidP="002D5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E89" w:rsidRPr="00F74AFD" w:rsidP="00F74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FD" w:rsidRPr="002D2AF8" w:rsidP="002D5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RIIOGD507D Manage and monitor rig-up and rig-up to spud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4AFD" w:rsidP="002D5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60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8C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8CA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E89"/>
  </w:style>
  <w:style w:type="character" w:customStyle="1" w:styleId="Heading1Char">
    <w:name w:val="Heading 1 Char"/>
    <w:basedOn w:val="DefaultParagraphFont"/>
    <w:link w:val="Heading1"/>
    <w:rsid w:val="002D5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E8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D5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E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5E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5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D5E89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D5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E89"/>
    <w:rPr>
      <w:b/>
      <w:spacing w:val="0"/>
    </w:rPr>
  </w:style>
  <w:style w:type="paragraph" w:customStyle="1" w:styleId="SuperTitle">
    <w:name w:val="SuperTitle"/>
    <w:basedOn w:val="Title"/>
    <w:rsid w:val="002D5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E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E89"/>
    <w:rPr>
      <w:i/>
    </w:rPr>
  </w:style>
  <w:style w:type="paragraph" w:styleId="Caption">
    <w:name w:val="caption"/>
    <w:basedOn w:val="BodyText"/>
    <w:next w:val="Normal"/>
    <w:qFormat/>
    <w:rsid w:val="002D5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E89"/>
  </w:style>
  <w:style w:type="paragraph" w:styleId="TableofFigures">
    <w:name w:val="table of figures"/>
    <w:basedOn w:val="Normal"/>
    <w:next w:val="Normal"/>
    <w:semiHidden/>
    <w:rsid w:val="002D5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E89"/>
    <w:rPr>
      <w:rFonts w:ascii="Wingdings" w:hAnsi="Wingdings"/>
    </w:rPr>
  </w:style>
  <w:style w:type="paragraph" w:customStyle="1" w:styleId="TableHeading">
    <w:name w:val="Table Heading"/>
    <w:basedOn w:val="HeadingBase"/>
    <w:rsid w:val="002D5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E89"/>
    <w:rPr>
      <w:color w:val="0033CC"/>
      <w:u w:val="none"/>
    </w:rPr>
  </w:style>
  <w:style w:type="paragraph" w:customStyle="1" w:styleId="BodyTextRight">
    <w:name w:val="Body Text Right"/>
    <w:basedOn w:val="BodyText"/>
    <w:rsid w:val="002D5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E89"/>
    <w:rPr>
      <w:sz w:val="32"/>
    </w:rPr>
  </w:style>
  <w:style w:type="paragraph" w:customStyle="1" w:styleId="HeadingProcedure">
    <w:name w:val="Heading Procedure"/>
    <w:basedOn w:val="HeadingBase"/>
    <w:next w:val="Normal"/>
    <w:rsid w:val="002D5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E89"/>
    <w:pPr>
      <w:spacing w:before="60" w:after="60"/>
    </w:pPr>
  </w:style>
  <w:style w:type="paragraph" w:styleId="ListContinue">
    <w:name w:val="List Continue"/>
    <w:basedOn w:val="List"/>
    <w:rsid w:val="002D5E89"/>
    <w:pPr>
      <w:ind w:firstLine="0"/>
    </w:pPr>
  </w:style>
  <w:style w:type="paragraph" w:customStyle="1" w:styleId="ListNote">
    <w:name w:val="List Note"/>
    <w:basedOn w:val="List"/>
    <w:rsid w:val="002D5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E89"/>
    <w:rPr>
      <w:rFonts w:ascii="Courier New" w:hAnsi="Courier New"/>
    </w:rPr>
  </w:style>
  <w:style w:type="paragraph" w:customStyle="1" w:styleId="NoteBullet">
    <w:name w:val="Note Bullet"/>
    <w:basedOn w:val="Note"/>
    <w:rsid w:val="002D5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E89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D5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E89"/>
    <w:rPr>
      <w:b/>
      <w:smallCaps/>
    </w:rPr>
  </w:style>
  <w:style w:type="paragraph" w:customStyle="1" w:styleId="TableListNumber">
    <w:name w:val="Table List Number"/>
    <w:basedOn w:val="ListNumber"/>
    <w:rsid w:val="002D5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E89"/>
    <w:pPr>
      <w:numPr>
        <w:numId w:val="9"/>
      </w:numPr>
    </w:pPr>
  </w:style>
  <w:style w:type="paragraph" w:customStyle="1" w:styleId="ListAlpha2">
    <w:name w:val="List Alpha 2"/>
    <w:basedOn w:val="List2"/>
    <w:rsid w:val="002D5E89"/>
    <w:pPr>
      <w:numPr>
        <w:numId w:val="8"/>
      </w:numPr>
    </w:pPr>
  </w:style>
  <w:style w:type="paragraph" w:styleId="List2">
    <w:name w:val="List 2"/>
    <w:basedOn w:val="BodyText"/>
    <w:rsid w:val="002D5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E89"/>
    <w:pPr>
      <w:numPr>
        <w:numId w:val="4"/>
      </w:numPr>
    </w:pPr>
  </w:style>
  <w:style w:type="paragraph" w:styleId="ListContinue2">
    <w:name w:val="List Continue 2"/>
    <w:basedOn w:val="List2"/>
    <w:rsid w:val="002D5E89"/>
    <w:pPr>
      <w:ind w:firstLine="0"/>
    </w:pPr>
  </w:style>
  <w:style w:type="paragraph" w:styleId="ListContinue3">
    <w:name w:val="List Continue 3"/>
    <w:basedOn w:val="List3"/>
    <w:rsid w:val="002D5E89"/>
    <w:pPr>
      <w:ind w:left="1021" w:firstLine="0"/>
    </w:pPr>
  </w:style>
  <w:style w:type="paragraph" w:styleId="ListContinue4">
    <w:name w:val="List Continue 4"/>
    <w:basedOn w:val="List4"/>
    <w:rsid w:val="002D5E89"/>
    <w:pPr>
      <w:ind w:firstLine="0"/>
    </w:pPr>
  </w:style>
  <w:style w:type="paragraph" w:styleId="ListContinue5">
    <w:name w:val="List Continue 5"/>
    <w:basedOn w:val="List5"/>
    <w:rsid w:val="002D5E89"/>
    <w:pPr>
      <w:ind w:firstLine="0"/>
    </w:pPr>
  </w:style>
  <w:style w:type="paragraph" w:styleId="ListNumber3">
    <w:name w:val="List Number 3"/>
    <w:basedOn w:val="List3"/>
    <w:rsid w:val="002D5E89"/>
    <w:pPr>
      <w:numPr>
        <w:numId w:val="5"/>
      </w:numPr>
    </w:pPr>
  </w:style>
  <w:style w:type="paragraph" w:styleId="ListNumber4">
    <w:name w:val="List Number 4"/>
    <w:basedOn w:val="List4"/>
    <w:rsid w:val="002D5E89"/>
    <w:pPr>
      <w:numPr>
        <w:numId w:val="6"/>
      </w:numPr>
    </w:pPr>
  </w:style>
  <w:style w:type="paragraph" w:styleId="ListNumber5">
    <w:name w:val="List Number 5"/>
    <w:basedOn w:val="List5"/>
    <w:rsid w:val="002D5E89"/>
    <w:pPr>
      <w:numPr>
        <w:numId w:val="7"/>
      </w:numPr>
    </w:pPr>
  </w:style>
  <w:style w:type="paragraph" w:styleId="BlockText">
    <w:name w:val="Block Text"/>
    <w:basedOn w:val="Normal"/>
    <w:rsid w:val="002D5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E89"/>
    <w:rPr>
      <w:sz w:val="16"/>
      <w:vertAlign w:val="superscript"/>
    </w:rPr>
  </w:style>
  <w:style w:type="character" w:customStyle="1" w:styleId="Symbols">
    <w:name w:val="Symbols"/>
    <w:basedOn w:val="DefaultParagraphFont"/>
    <w:rsid w:val="002D5E89"/>
    <w:rPr>
      <w:rFonts w:ascii="Symbol" w:hAnsi="Symbol"/>
    </w:rPr>
  </w:style>
  <w:style w:type="character" w:customStyle="1" w:styleId="MenuOptions">
    <w:name w:val="Menu Options"/>
    <w:basedOn w:val="DefaultParagraphFont"/>
    <w:rsid w:val="002D5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E89"/>
    <w:rPr>
      <w:b/>
    </w:rPr>
  </w:style>
  <w:style w:type="character" w:customStyle="1" w:styleId="Underlined">
    <w:name w:val="Underlined"/>
    <w:basedOn w:val="DefaultParagraphFont"/>
    <w:rsid w:val="002D5E89"/>
    <w:rPr>
      <w:u w:val="single"/>
    </w:rPr>
  </w:style>
  <w:style w:type="paragraph" w:customStyle="1" w:styleId="TableBodyTextRight">
    <w:name w:val="Table Body Text Right"/>
    <w:basedOn w:val="TableBodyText"/>
    <w:rsid w:val="002D5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E89"/>
    <w:rPr>
      <w:sz w:val="18"/>
    </w:rPr>
  </w:style>
  <w:style w:type="paragraph" w:customStyle="1" w:styleId="BodySmallRight">
    <w:name w:val="Body Small Right"/>
    <w:basedOn w:val="BodyTextRight"/>
    <w:rsid w:val="002D5E89"/>
    <w:rPr>
      <w:sz w:val="18"/>
      <w:szCs w:val="18"/>
    </w:rPr>
  </w:style>
  <w:style w:type="paragraph" w:customStyle="1" w:styleId="MarginEdition">
    <w:name w:val="Margin Edition"/>
    <w:basedOn w:val="MarginNote"/>
    <w:rsid w:val="002D5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E89"/>
    <w:rPr>
      <w:sz w:val="2"/>
      <w:szCs w:val="2"/>
    </w:rPr>
  </w:style>
  <w:style w:type="character" w:customStyle="1" w:styleId="Small">
    <w:name w:val="Small"/>
    <w:basedOn w:val="DefaultParagraphFont"/>
    <w:rsid w:val="002D5E89"/>
    <w:rPr>
      <w:sz w:val="16"/>
    </w:rPr>
  </w:style>
  <w:style w:type="paragraph" w:customStyle="1" w:styleId="WideTable">
    <w:name w:val="Wide Table"/>
    <w:basedOn w:val="Normal"/>
    <w:rsid w:val="002D5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E89"/>
  </w:style>
  <w:style w:type="paragraph" w:styleId="Quote">
    <w:name w:val="Quote"/>
    <w:basedOn w:val="Heading1"/>
    <w:link w:val="QuoteChar"/>
    <w:qFormat/>
    <w:rsid w:val="002D5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E89"/>
    <w:pPr>
      <w:pageBreakBefore/>
    </w:pPr>
  </w:style>
  <w:style w:type="paragraph" w:customStyle="1" w:styleId="Border">
    <w:name w:val="Border"/>
    <w:basedOn w:val="Normal"/>
    <w:qFormat/>
    <w:rsid w:val="002D5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E89"/>
    <w:rPr>
      <w:u w:val="single"/>
    </w:rPr>
  </w:style>
  <w:style w:type="character" w:customStyle="1" w:styleId="BoldandItalics">
    <w:name w:val="Bold and Italics"/>
    <w:qFormat/>
    <w:rsid w:val="002D5E89"/>
    <w:rPr>
      <w:b/>
      <w:i/>
      <w:u w:val="none"/>
    </w:rPr>
  </w:style>
  <w:style w:type="paragraph" w:styleId="BalloonText">
    <w:name w:val="Balloon Text"/>
    <w:basedOn w:val="Normal"/>
    <w:link w:val="BalloonTextChar"/>
    <w:rsid w:val="002D5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E89"/>
    <w:pPr>
      <w:spacing w:before="0" w:after="0"/>
    </w:pPr>
  </w:style>
  <w:style w:type="paragraph" w:customStyle="1" w:styleId="BodyTextBold">
    <w:name w:val="Body Text Bold"/>
    <w:basedOn w:val="BodyText"/>
    <w:qFormat/>
    <w:rsid w:val="002D5E89"/>
    <w:rPr>
      <w:b/>
    </w:rPr>
  </w:style>
  <w:style w:type="character" w:styleId="Hyperlink">
    <w:name w:val="Hyperlink"/>
    <w:basedOn w:val="DefaultParagraphFont"/>
    <w:uiPriority w:val="99"/>
    <w:unhideWhenUsed/>
    <w:rsid w:val="00F74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5431</Characters>
  <Application>Microsoft Office Word</Application>
  <DocSecurity>0</DocSecurity>
  <Lines>139</Lines>
  <Paragraphs>90</Paragraphs>
  <ScaleCrop>false</ScaleCrop>
  <Company>Author-it Software Corporation Ltd.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RIIOGD507D Manage and monitor rig-up and rig-up to spud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