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A97" w:rsidP="00255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RIIOGD506D Manage rig move and camp move</w:t>
      </w:r>
      <w:r>
        <w:fldChar w:fldCharType="end"/>
      </w:r>
    </w:p>
    <w:p w:rsidR="00255A97" w:rsidP="00255A97">
      <w:pPr>
        <w:pStyle w:val="Version"/>
        <w:sectPr w:rsidSect="00BA3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A37E3" w:rsidP="00BA37E3">
      <w:pPr>
        <w:pStyle w:val="SuperHeading"/>
      </w:pPr>
      <w:r w:rsidRPr="00BA37E3">
        <w:t>Assessment Requirements for RIIOGD506D Manage rig move and camp move</w:t>
      </w:r>
    </w:p>
    <w:p w:rsidR="00000000" w:rsidRPr="00BA37E3" w:rsidP="00BA37E3">
      <w:pPr>
        <w:pStyle w:val="Heading1"/>
      </w:pPr>
      <w:bookmarkStart w:id="1" w:name="O_691466"/>
      <w:bookmarkEnd w:id="1"/>
      <w:r w:rsidRPr="00BA37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55A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7E3">
            <w:pPr>
              <w:pStyle w:val="Heading4"/>
              <w:rPr>
                <w:lang w:val="en-NZ"/>
              </w:rPr>
            </w:pPr>
            <w:r w:rsidRPr="00BA37E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7E3">
            <w:pPr>
              <w:pStyle w:val="Heading4"/>
              <w:rPr>
                <w:lang w:val="en-NZ"/>
              </w:rPr>
            </w:pPr>
            <w:r w:rsidRPr="00BA37E3">
              <w:t>Comment</w:t>
            </w:r>
          </w:p>
        </w:tc>
      </w:tr>
      <w:tr w:rsidTr="00255A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This unit replaces RIIOGD506A Manage rig move and camp move</w:t>
            </w:r>
          </w:p>
        </w:tc>
      </w:tr>
      <w:tr w:rsidTr="00255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Performance Criteria amended to make requirements more explicit.</w:t>
            </w:r>
          </w:p>
        </w:tc>
      </w:tr>
      <w:tr w:rsidTr="00255A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7E3" w:rsidP="00BA37E3">
            <w:pPr>
              <w:pStyle w:val="BodyText"/>
            </w:pPr>
            <w:r w:rsidRPr="00BA37E3">
              <w:t>Required frequency and volume of evidence amended in Performance evidence.</w:t>
            </w:r>
          </w:p>
          <w:p w:rsidR="00000000" w:rsidRPr="00BA37E3" w:rsidP="00BA37E3">
            <w:pPr>
              <w:pStyle w:val="BodyText"/>
            </w:pPr>
            <w:r w:rsidRPr="00BA37E3">
              <w:t>Substantial amendments made in Assessment Conditions field, including: references to Industry Sectors, assessor and subject matter expert experience requirements, how assessment sh</w:t>
            </w:r>
            <w:r w:rsidRPr="00BA37E3">
              <w:t>ould be conducted and what it should confirm.</w:t>
            </w:r>
          </w:p>
        </w:tc>
      </w:tr>
    </w:tbl>
    <w:p w:rsidR="00000000" w:rsidRPr="00BA37E3" w:rsidP="00BA37E3">
      <w:pPr>
        <w:pStyle w:val="BodyText"/>
      </w:pPr>
    </w:p>
    <w:p w:rsidR="00000000" w:rsidRPr="00BA37E3" w:rsidP="00BA37E3">
      <w:pPr>
        <w:pStyle w:val="AllowPageBreak"/>
      </w:pPr>
    </w:p>
    <w:p w:rsidR="00000000" w:rsidRPr="00BA37E3" w:rsidP="00BA37E3">
      <w:pPr>
        <w:pStyle w:val="Heading1"/>
      </w:pPr>
      <w:bookmarkStart w:id="2" w:name="O_691465"/>
      <w:bookmarkEnd w:id="2"/>
      <w:r w:rsidRPr="00BA37E3">
        <w:t>Performance Evidence</w:t>
      </w:r>
    </w:p>
    <w:p w:rsidR="00000000" w:rsidRPr="00BA37E3" w:rsidP="00255A97">
      <w:pPr>
        <w:pStyle w:val="BodyText"/>
      </w:pPr>
      <w:r w:rsidRPr="00BA37E3">
        <w:t xml:space="preserve">Evidence is required to be collected that demonstrates a candidate’s competency in this unit. Evidence must be relevant to the roles within this sector’s work operations </w:t>
      </w:r>
      <w:r w:rsidRPr="00BA37E3">
        <w:t>and satisfy all of the requirements of the performance criteria of this unit and include evidence that the candidate:</w:t>
      </w:r>
    </w:p>
    <w:p w:rsidR="00000000" w:rsidRPr="00BA37E3" w:rsidP="00BA37E3">
      <w:pPr>
        <w:pStyle w:val="ListBullet"/>
      </w:pPr>
      <w:r w:rsidRPr="00BA37E3">
        <w:t>locates and applies relevant legislation, documentation, policies and procedures</w:t>
      </w:r>
    </w:p>
    <w:p w:rsidR="00000000" w:rsidRPr="00BA37E3" w:rsidP="00BA37E3">
      <w:pPr>
        <w:pStyle w:val="ListBullet"/>
      </w:pPr>
      <w:r w:rsidRPr="00BA37E3">
        <w:t>implements the requirements, procedures and techniques for the safe, effective and efficient management of rig move and camp move including:</w:t>
      </w:r>
    </w:p>
    <w:p w:rsidR="00000000" w:rsidRPr="00BA37E3" w:rsidP="00BA37E3">
      <w:pPr>
        <w:pStyle w:val="ListBullet2"/>
      </w:pPr>
      <w:r w:rsidRPr="00BA37E3">
        <w:t>identifying, addressing and reporting potential hazards and risks</w:t>
      </w:r>
    </w:p>
    <w:p w:rsidR="00000000" w:rsidRPr="00BA37E3" w:rsidP="00BA37E3">
      <w:pPr>
        <w:pStyle w:val="ListBullet2"/>
      </w:pPr>
      <w:r w:rsidRPr="00BA37E3">
        <w:t xml:space="preserve">controlling identified hazards </w:t>
      </w:r>
    </w:p>
    <w:p w:rsidR="00000000" w:rsidRPr="00BA37E3" w:rsidP="00BA37E3">
      <w:pPr>
        <w:pStyle w:val="ListBullet2"/>
      </w:pPr>
      <w:r w:rsidRPr="00BA37E3">
        <w:t>carrying out eme</w:t>
      </w:r>
      <w:r w:rsidRPr="00BA37E3">
        <w:t xml:space="preserve">rgency response </w:t>
      </w:r>
    </w:p>
    <w:p w:rsidR="00000000" w:rsidRPr="00BA37E3" w:rsidP="00BA37E3">
      <w:pPr>
        <w:pStyle w:val="ListBullet2"/>
      </w:pPr>
      <w:r w:rsidRPr="00BA37E3">
        <w:t>identifying, addressing and reporting environmental issues</w:t>
      </w:r>
    </w:p>
    <w:p w:rsidR="00000000" w:rsidRPr="00BA37E3" w:rsidP="00BA37E3">
      <w:pPr>
        <w:pStyle w:val="ListBullet2"/>
      </w:pPr>
      <w:r w:rsidRPr="00BA37E3">
        <w:t xml:space="preserve">preparing written records and reports </w:t>
      </w:r>
    </w:p>
    <w:p w:rsidR="00000000" w:rsidRPr="00BA37E3" w:rsidP="00BA37E3">
      <w:pPr>
        <w:pStyle w:val="ListBullet2"/>
      </w:pPr>
      <w:r w:rsidRPr="00BA37E3">
        <w:t>rectifying and/or reporting faults and malfunctions</w:t>
      </w:r>
    </w:p>
    <w:p w:rsidR="00000000" w:rsidRPr="00BA37E3" w:rsidP="00BA37E3">
      <w:pPr>
        <w:pStyle w:val="ListBullet"/>
      </w:pPr>
      <w:r w:rsidRPr="00BA37E3">
        <w:t>works effectively with others to undertake and complete the managing of rig move and cam</w:t>
      </w:r>
      <w:r w:rsidRPr="00BA37E3">
        <w:t>p move to meet all required outcomes including:</w:t>
      </w:r>
    </w:p>
    <w:p w:rsidR="00000000" w:rsidRPr="00BA37E3" w:rsidP="00BA37E3">
      <w:pPr>
        <w:pStyle w:val="ListBullet2"/>
      </w:pPr>
      <w:r w:rsidRPr="00BA37E3">
        <w:t>communicating clearly and concisely with others to receive, give and clarify work instructions</w:t>
      </w:r>
    </w:p>
    <w:p w:rsidR="00000000" w:rsidRPr="00BA37E3" w:rsidP="00BA37E3">
      <w:pPr>
        <w:pStyle w:val="ListBullet2"/>
      </w:pPr>
      <w:r w:rsidRPr="00BA37E3">
        <w:t>preparing for and organising work activities to meet all task requirements</w:t>
      </w:r>
    </w:p>
    <w:p w:rsidR="00000000" w:rsidRPr="00BA37E3" w:rsidP="00BA37E3">
      <w:pPr>
        <w:pStyle w:val="ListBullet2"/>
      </w:pPr>
      <w:r w:rsidRPr="00BA37E3">
        <w:t>establishing and maintaining coordina</w:t>
      </w:r>
      <w:r w:rsidRPr="00BA37E3">
        <w:t xml:space="preserve">tion with others relating to the work activity </w:t>
      </w:r>
    </w:p>
    <w:p w:rsidR="00000000" w:rsidRPr="00BA37E3" w:rsidP="00BA37E3">
      <w:pPr>
        <w:pStyle w:val="ListBullet2"/>
      </w:pPr>
      <w:r w:rsidRPr="00BA37E3">
        <w:t>complying with written and verbal reporting requirements</w:t>
      </w:r>
    </w:p>
    <w:p w:rsidR="00000000" w:rsidRPr="00BA37E3" w:rsidP="00BA37E3">
      <w:pPr>
        <w:pStyle w:val="ListBullet2"/>
      </w:pPr>
      <w:r w:rsidRPr="00BA37E3">
        <w:t>conducting pre-rig move safety meetings to ensure safe operation</w:t>
      </w:r>
    </w:p>
    <w:p w:rsidR="00000000" w:rsidRPr="00BA37E3" w:rsidP="00BA37E3">
      <w:pPr>
        <w:pStyle w:val="ListBullet"/>
      </w:pPr>
      <w:r w:rsidRPr="00BA37E3">
        <w:t>demonstrates completion of the management of rig move and camp move that safely, effe</w:t>
      </w:r>
      <w:r w:rsidRPr="00BA37E3">
        <w:t>ctively and efficiently meets all of the required outcomes on more than one (1) occasion including:</w:t>
      </w:r>
    </w:p>
    <w:p w:rsidR="00000000" w:rsidRPr="00BA37E3" w:rsidP="00BA37E3">
      <w:pPr>
        <w:pStyle w:val="ListBullet2"/>
      </w:pPr>
      <w:r w:rsidRPr="00BA37E3">
        <w:t>checking and confirming drill rig movements and new location arrangements</w:t>
      </w:r>
    </w:p>
    <w:p w:rsidR="00000000" w:rsidRPr="00BA37E3" w:rsidP="00BA37E3">
      <w:pPr>
        <w:pStyle w:val="ListBullet2"/>
      </w:pPr>
      <w:r w:rsidRPr="00BA37E3">
        <w:t>monitoring the application of correct rigging practices for rig removal and loading</w:t>
      </w:r>
    </w:p>
    <w:p w:rsidR="00000000" w:rsidRPr="00BA37E3" w:rsidP="00BA37E3">
      <w:pPr>
        <w:pStyle w:val="ListBullet2"/>
      </w:pPr>
      <w:r w:rsidRPr="00BA37E3">
        <w:t>monitoring rig/camp move</w:t>
      </w:r>
    </w:p>
    <w:p w:rsidR="00000000" w:rsidRPr="00BA37E3" w:rsidP="00BA37E3">
      <w:pPr>
        <w:pStyle w:val="ListBullet2"/>
      </w:pPr>
      <w:r w:rsidRPr="00BA37E3">
        <w:t>completing all reporting requirements</w:t>
      </w:r>
    </w:p>
    <w:p w:rsidR="00000000" w:rsidRPr="00BA37E3" w:rsidP="00BA37E3">
      <w:pPr>
        <w:pStyle w:val="AllowPageBreak"/>
      </w:pPr>
    </w:p>
    <w:p w:rsidR="00000000" w:rsidRPr="00BA37E3" w:rsidP="00BA37E3">
      <w:pPr>
        <w:pStyle w:val="Heading1"/>
      </w:pPr>
      <w:bookmarkStart w:id="3" w:name="O_691464"/>
      <w:bookmarkEnd w:id="3"/>
      <w:r w:rsidRPr="00BA37E3">
        <w:t>Knowledge Evidence</w:t>
      </w:r>
    </w:p>
    <w:p w:rsidR="00000000" w:rsidRPr="00BA37E3" w:rsidP="00255A97">
      <w:pPr>
        <w:pStyle w:val="BodyText"/>
      </w:pPr>
      <w:r w:rsidRPr="00BA37E3">
        <w:t>The candidate must demonstrate knowledge in managing rig move and camp mo</w:t>
      </w:r>
      <w:r w:rsidRPr="00BA37E3">
        <w:t>ve through:</w:t>
      </w:r>
    </w:p>
    <w:p w:rsidR="00000000" w:rsidRPr="00BA37E3" w:rsidP="00BA37E3">
      <w:pPr>
        <w:pStyle w:val="ListBullet2"/>
      </w:pPr>
      <w:r w:rsidRPr="00BA37E3">
        <w:t>setting up work activity</w:t>
      </w:r>
    </w:p>
    <w:p w:rsidR="00000000" w:rsidRPr="00BA37E3" w:rsidP="00BA37E3">
      <w:pPr>
        <w:pStyle w:val="ListBullet2"/>
      </w:pPr>
      <w:r w:rsidRPr="00BA37E3">
        <w:t>site isolation, signage and erecting barriers</w:t>
      </w:r>
    </w:p>
    <w:p w:rsidR="00000000" w:rsidRPr="00BA37E3" w:rsidP="00BA37E3">
      <w:pPr>
        <w:pStyle w:val="ListBullet2"/>
      </w:pPr>
      <w:r w:rsidRPr="00BA37E3">
        <w:t>work health and safety</w:t>
      </w:r>
    </w:p>
    <w:p w:rsidR="00000000" w:rsidRPr="00BA37E3" w:rsidP="00BA37E3">
      <w:pPr>
        <w:pStyle w:val="ListBullet2"/>
      </w:pPr>
      <w:r w:rsidRPr="00BA37E3">
        <w:t>selecting and checking for faults, all plant, tools and equipment to carry out tasks</w:t>
      </w:r>
    </w:p>
    <w:p w:rsidR="00000000" w:rsidRPr="00BA37E3" w:rsidP="00BA37E3">
      <w:pPr>
        <w:pStyle w:val="ListBullet2"/>
      </w:pPr>
      <w:r w:rsidRPr="00BA37E3">
        <w:t>applying standard working practices and procedures</w:t>
      </w:r>
    </w:p>
    <w:p w:rsidR="00000000" w:rsidRPr="00BA37E3" w:rsidP="00BA37E3">
      <w:pPr>
        <w:pStyle w:val="ListBullet2"/>
      </w:pPr>
      <w:r w:rsidRPr="00BA37E3">
        <w:t>applying corr</w:t>
      </w:r>
      <w:r w:rsidRPr="00BA37E3">
        <w:t>ect methods to control identified hazards</w:t>
      </w:r>
    </w:p>
    <w:p w:rsidR="00000000" w:rsidRPr="00BA37E3" w:rsidP="00BA37E3">
      <w:pPr>
        <w:pStyle w:val="ListBullet2"/>
      </w:pPr>
      <w:r w:rsidRPr="00BA37E3">
        <w:t>map reading</w:t>
      </w:r>
    </w:p>
    <w:p w:rsidR="00000000" w:rsidRPr="00BA37E3" w:rsidP="00BA37E3">
      <w:pPr>
        <w:pStyle w:val="ListBullet"/>
      </w:pPr>
      <w:r w:rsidRPr="00BA37E3">
        <w:t>rigging and slinging</w:t>
      </w:r>
    </w:p>
    <w:p w:rsidR="00000000" w:rsidRPr="00BA37E3" w:rsidP="00BA37E3">
      <w:pPr>
        <w:pStyle w:val="ListBullet"/>
      </w:pPr>
      <w:r w:rsidRPr="00BA37E3">
        <w:t>rig and camp layouts</w:t>
      </w:r>
    </w:p>
    <w:p w:rsidR="00000000" w:rsidRPr="00BA37E3" w:rsidP="00BA37E3">
      <w:pPr>
        <w:pStyle w:val="AllowPageBreak"/>
      </w:pPr>
    </w:p>
    <w:p w:rsidR="00000000" w:rsidRPr="00BA37E3" w:rsidP="00BA37E3">
      <w:pPr>
        <w:pStyle w:val="Heading1"/>
      </w:pPr>
      <w:bookmarkStart w:id="4" w:name="O_691463"/>
      <w:bookmarkEnd w:id="4"/>
      <w:r w:rsidRPr="00BA37E3">
        <w:t>Assessment Conditions</w:t>
      </w:r>
    </w:p>
    <w:p w:rsidR="00000000" w:rsidRPr="00BA37E3" w:rsidP="00BA37E3">
      <w:pPr>
        <w:pStyle w:val="ListBullet"/>
      </w:pPr>
      <w:r w:rsidRPr="00BA37E3">
        <w:t xml:space="preserve">An assessor of this unit must satisfy the requirements of the NVR/AQTF or their successors; </w:t>
      </w:r>
      <w:r w:rsidRPr="00BA37E3">
        <w:t xml:space="preserve">and Industry regulations for certification and licensing; and, </w:t>
      </w:r>
    </w:p>
    <w:p w:rsidR="00000000" w:rsidRPr="00BA37E3" w:rsidP="00BA37E3">
      <w:pPr>
        <w:pStyle w:val="ListBullet"/>
      </w:pPr>
      <w:r w:rsidRPr="00BA37E3">
        <w:t>this unit must be assessed in the context of this sector’s work environment; and,</w:t>
      </w:r>
    </w:p>
    <w:p w:rsidR="00000000" w:rsidRPr="00BA37E3" w:rsidP="00BA37E3">
      <w:pPr>
        <w:pStyle w:val="ListBullet"/>
      </w:pPr>
      <w:r w:rsidRPr="00BA37E3">
        <w:t xml:space="preserve">this unit must be assessed in compliance with relevant legislation/regulation and using policies, procedures, </w:t>
      </w:r>
      <w:r w:rsidRPr="00BA37E3">
        <w:t>processes and operational manuals directly related to the industry sector for which it is being assessed; and,</w:t>
      </w:r>
    </w:p>
    <w:p w:rsidR="00000000" w:rsidRPr="00BA37E3" w:rsidP="00BA37E3">
      <w:pPr>
        <w:pStyle w:val="ListBullet"/>
      </w:pPr>
      <w:r w:rsidRPr="00BA37E3">
        <w:t>assessment may be conducted in conjunction with the assessment of other Units of Competency; and,</w:t>
      </w:r>
    </w:p>
    <w:p w:rsidR="00000000" w:rsidRPr="00BA37E3" w:rsidP="00BA37E3">
      <w:pPr>
        <w:pStyle w:val="ListBullet"/>
      </w:pPr>
      <w:r w:rsidRPr="00BA37E3">
        <w:t xml:space="preserve">assessment must confirm consistent performance </w:t>
      </w:r>
      <w:r w:rsidRPr="00BA37E3">
        <w:t>can be applied in a range of relevant workplace circumstances; and,</w:t>
      </w:r>
    </w:p>
    <w:p w:rsidR="00000000" w:rsidRPr="00BA37E3" w:rsidP="00BA37E3">
      <w:pPr>
        <w:pStyle w:val="ListBullet"/>
      </w:pPr>
      <w:r w:rsidRPr="00BA37E3">
        <w:t>assessors must demonstrate the performance evidence, and knowledge evidence as outlined in this Unit of Competency, and through the minimum years of current* work experience specified belo</w:t>
      </w:r>
      <w:r w:rsidRPr="00BA37E3">
        <w:t>w in an Industry sector relevant to the outcomes of the unit; or,</w:t>
      </w:r>
    </w:p>
    <w:p w:rsidR="00000000" w:rsidRPr="00BA37E3" w:rsidP="00BA37E3">
      <w:pPr>
        <w:pStyle w:val="ListBullet"/>
      </w:pPr>
      <w:r w:rsidRPr="00BA37E3">
        <w:t>where the assessor does not meet experience requirements a co-assessment or partnership arrangement must exist between the qualified assessor and an Industry subject matter expert. The Indus</w:t>
      </w:r>
      <w:r w:rsidRPr="00BA37E3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BA37E3">
        <w:t>f current work experience specified below in the Industry sector, including time spent in roles related to the unit being assessed; and,</w:t>
      </w:r>
    </w:p>
    <w:p w:rsidR="00000000" w:rsidRPr="00BA37E3" w:rsidP="00BA37E3">
      <w:pPr>
        <w:pStyle w:val="ListBullet"/>
      </w:pPr>
      <w:r w:rsidRPr="00BA37E3">
        <w:t>assessor and Industry subject matter expert requirements differ depending on the Australian Qualifications Framework Le</w:t>
      </w:r>
      <w:r w:rsidRPr="00BA37E3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A37E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SubHeading1"/>
              <w:rPr>
                <w:lang w:val="en-NZ"/>
              </w:rPr>
            </w:pPr>
            <w:r w:rsidRPr="00BA37E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SubHeading1"/>
              <w:rPr>
                <w:lang w:val="en-NZ"/>
              </w:rPr>
            </w:pPr>
            <w:r w:rsidRPr="00BA37E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SubHeading1"/>
              <w:rPr>
                <w:lang w:val="en-NZ"/>
              </w:rPr>
            </w:pPr>
            <w:r w:rsidRPr="00BA37E3">
              <w:t>Required assessor or Industry subject matter expert experience</w:t>
            </w:r>
          </w:p>
        </w:tc>
      </w:tr>
      <w:tr w:rsidTr="00BA37E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1 Year</w:t>
            </w:r>
          </w:p>
        </w:tc>
      </w:tr>
      <w:tr w:rsidTr="00BA37E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2 Years</w:t>
            </w:r>
          </w:p>
        </w:tc>
      </w:tr>
      <w:tr w:rsidTr="00BA37E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3 Years</w:t>
            </w:r>
          </w:p>
        </w:tc>
      </w:tr>
      <w:tr w:rsidTr="00BA37E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5 Years</w:t>
            </w:r>
          </w:p>
        </w:tc>
      </w:tr>
      <w:tr w:rsidTr="00BA37E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7E3">
            <w:pPr>
              <w:pStyle w:val="BodyText"/>
              <w:rPr>
                <w:lang w:val="en-NZ"/>
              </w:rPr>
            </w:pPr>
            <w:r w:rsidRPr="00BA37E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37E3" w:rsidP="00BA37E3">
            <w:pPr>
              <w:pStyle w:val="BodyText"/>
            </w:pPr>
            <w:r w:rsidRPr="00BA37E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A37E3">
              <w:t>ndard is specified should comply with any relevant regulation.</w:t>
            </w:r>
          </w:p>
        </w:tc>
      </w:tr>
    </w:tbl>
    <w:p w:rsidR="00000000" w:rsidRPr="00BA37E3" w:rsidP="00255A97">
      <w:pPr>
        <w:pStyle w:val="BodyText"/>
      </w:pPr>
      <w:r w:rsidRPr="00BA37E3">
        <w:t>*Assessors can demonstrate current work experience through employment within Industry in a role relevant to the outcomes of the Unit; or, for external assessors this can be demonstrated throu</w:t>
      </w:r>
      <w:r w:rsidRPr="00BA37E3">
        <w:t>gh exposure to Industry by conducting frequent site assessments across various locations.</w:t>
      </w:r>
    </w:p>
    <w:p w:rsidR="00000000" w:rsidRPr="00BA37E3" w:rsidP="00255A97">
      <w:pPr>
        <w:pStyle w:val="BodyText"/>
      </w:pPr>
      <w:r w:rsidRPr="00BA37E3">
        <w:t>**Where a unit is being delivered outside of a Qualification the first numeric character in the Unit code should be considered to indicate the AQF level</w:t>
      </w:r>
    </w:p>
    <w:p w:rsidR="00000000" w:rsidRPr="00BA37E3" w:rsidP="00BA37E3">
      <w:pPr>
        <w:pStyle w:val="Heading1"/>
      </w:pPr>
      <w:bookmarkStart w:id="5" w:name="O_691475"/>
      <w:bookmarkEnd w:id="5"/>
      <w:r w:rsidRPr="00BA37E3">
        <w:t>Links</w:t>
      </w:r>
    </w:p>
    <w:p w:rsidR="00000000" w:rsidRPr="00BA37E3" w:rsidP="00255A97">
      <w:pPr>
        <w:pStyle w:val="BodyText"/>
      </w:pPr>
      <w:r w:rsidRPr="00BA37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00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37E3" w:rsidP="00BA37E3"/>
    <w:sectPr w:rsidSect="00BA37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E3" w:rsidRPr="00255A97" w:rsidP="00255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97" w:rsidP="00BA3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A97" w:rsidP="00BA3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5A97" w:rsidP="00BA3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7E3" w:rsidRPr="00255A97" w:rsidP="00255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97" w:rsidRPr="002D2AF8" w:rsidP="00BA3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RIIOGD506D Manage rig move and camp move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5A97" w:rsidP="00BA3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BE0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BC5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CE3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7E3"/>
  </w:style>
  <w:style w:type="character" w:customStyle="1" w:styleId="Heading1Char">
    <w:name w:val="Heading 1 Char"/>
    <w:basedOn w:val="DefaultParagraphFont"/>
    <w:link w:val="Heading1"/>
    <w:rsid w:val="00BA3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7E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A3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7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7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37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3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BA37E3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BA3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7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7E3"/>
    <w:rPr>
      <w:b/>
      <w:spacing w:val="0"/>
    </w:rPr>
  </w:style>
  <w:style w:type="paragraph" w:customStyle="1" w:styleId="SuperTitle">
    <w:name w:val="SuperTitle"/>
    <w:basedOn w:val="Title"/>
    <w:rsid w:val="00BA3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7E3"/>
    <w:rPr>
      <w:i/>
    </w:rPr>
  </w:style>
  <w:style w:type="paragraph" w:styleId="Caption">
    <w:name w:val="caption"/>
    <w:basedOn w:val="BodyText"/>
    <w:next w:val="Normal"/>
    <w:qFormat/>
    <w:rsid w:val="00BA3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7E3"/>
  </w:style>
  <w:style w:type="paragraph" w:styleId="TableofFigures">
    <w:name w:val="table of figures"/>
    <w:basedOn w:val="Normal"/>
    <w:next w:val="Normal"/>
    <w:semiHidden/>
    <w:rsid w:val="00BA3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7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37E3"/>
    <w:rPr>
      <w:rFonts w:ascii="Wingdings" w:hAnsi="Wingdings"/>
    </w:rPr>
  </w:style>
  <w:style w:type="paragraph" w:customStyle="1" w:styleId="TableHeading">
    <w:name w:val="Table Heading"/>
    <w:basedOn w:val="HeadingBase"/>
    <w:rsid w:val="00BA3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7E3"/>
    <w:rPr>
      <w:color w:val="0033CC"/>
      <w:u w:val="none"/>
    </w:rPr>
  </w:style>
  <w:style w:type="paragraph" w:customStyle="1" w:styleId="BodyTextRight">
    <w:name w:val="Body Text Right"/>
    <w:basedOn w:val="BodyText"/>
    <w:rsid w:val="00BA3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7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7E3"/>
    <w:rPr>
      <w:sz w:val="32"/>
    </w:rPr>
  </w:style>
  <w:style w:type="paragraph" w:customStyle="1" w:styleId="HeadingProcedure">
    <w:name w:val="Heading Procedure"/>
    <w:basedOn w:val="HeadingBase"/>
    <w:next w:val="Normal"/>
    <w:rsid w:val="00BA3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7E3"/>
    <w:pPr>
      <w:spacing w:before="60" w:after="60"/>
    </w:pPr>
  </w:style>
  <w:style w:type="paragraph" w:styleId="ListContinue">
    <w:name w:val="List Continue"/>
    <w:basedOn w:val="List"/>
    <w:rsid w:val="00BA37E3"/>
    <w:pPr>
      <w:ind w:firstLine="0"/>
    </w:pPr>
  </w:style>
  <w:style w:type="paragraph" w:customStyle="1" w:styleId="ListNote">
    <w:name w:val="List Note"/>
    <w:basedOn w:val="List"/>
    <w:rsid w:val="00BA3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7E3"/>
    <w:rPr>
      <w:rFonts w:ascii="Courier New" w:hAnsi="Courier New"/>
    </w:rPr>
  </w:style>
  <w:style w:type="paragraph" w:customStyle="1" w:styleId="NoteBullet">
    <w:name w:val="Note Bullet"/>
    <w:basedOn w:val="Note"/>
    <w:rsid w:val="00BA3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7E3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BA3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7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3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7E3"/>
    <w:rPr>
      <w:b/>
      <w:smallCaps/>
    </w:rPr>
  </w:style>
  <w:style w:type="paragraph" w:customStyle="1" w:styleId="TableListNumber">
    <w:name w:val="Table List Number"/>
    <w:basedOn w:val="ListNumber"/>
    <w:rsid w:val="00BA3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7E3"/>
    <w:pPr>
      <w:numPr>
        <w:numId w:val="9"/>
      </w:numPr>
    </w:pPr>
  </w:style>
  <w:style w:type="paragraph" w:customStyle="1" w:styleId="ListAlpha2">
    <w:name w:val="List Alpha 2"/>
    <w:basedOn w:val="List2"/>
    <w:rsid w:val="00BA37E3"/>
    <w:pPr>
      <w:numPr>
        <w:numId w:val="8"/>
      </w:numPr>
    </w:pPr>
  </w:style>
  <w:style w:type="paragraph" w:styleId="List2">
    <w:name w:val="List 2"/>
    <w:basedOn w:val="BodyText"/>
    <w:rsid w:val="00BA3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7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7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37E3"/>
    <w:pPr>
      <w:numPr>
        <w:numId w:val="4"/>
      </w:numPr>
    </w:pPr>
  </w:style>
  <w:style w:type="paragraph" w:styleId="ListContinue2">
    <w:name w:val="List Continue 2"/>
    <w:basedOn w:val="List2"/>
    <w:rsid w:val="00BA37E3"/>
    <w:pPr>
      <w:ind w:firstLine="0"/>
    </w:pPr>
  </w:style>
  <w:style w:type="paragraph" w:styleId="ListContinue3">
    <w:name w:val="List Continue 3"/>
    <w:basedOn w:val="List3"/>
    <w:rsid w:val="00BA37E3"/>
    <w:pPr>
      <w:ind w:left="1021" w:firstLine="0"/>
    </w:pPr>
  </w:style>
  <w:style w:type="paragraph" w:styleId="ListContinue4">
    <w:name w:val="List Continue 4"/>
    <w:basedOn w:val="List4"/>
    <w:rsid w:val="00BA37E3"/>
    <w:pPr>
      <w:ind w:firstLine="0"/>
    </w:pPr>
  </w:style>
  <w:style w:type="paragraph" w:styleId="ListContinue5">
    <w:name w:val="List Continue 5"/>
    <w:basedOn w:val="List5"/>
    <w:rsid w:val="00BA37E3"/>
    <w:pPr>
      <w:ind w:firstLine="0"/>
    </w:pPr>
  </w:style>
  <w:style w:type="paragraph" w:styleId="ListNumber3">
    <w:name w:val="List Number 3"/>
    <w:basedOn w:val="List3"/>
    <w:rsid w:val="00BA37E3"/>
    <w:pPr>
      <w:numPr>
        <w:numId w:val="5"/>
      </w:numPr>
    </w:pPr>
  </w:style>
  <w:style w:type="paragraph" w:styleId="ListNumber4">
    <w:name w:val="List Number 4"/>
    <w:basedOn w:val="List4"/>
    <w:rsid w:val="00BA37E3"/>
    <w:pPr>
      <w:numPr>
        <w:numId w:val="6"/>
      </w:numPr>
    </w:pPr>
  </w:style>
  <w:style w:type="paragraph" w:styleId="ListNumber5">
    <w:name w:val="List Number 5"/>
    <w:basedOn w:val="List5"/>
    <w:rsid w:val="00BA37E3"/>
    <w:pPr>
      <w:numPr>
        <w:numId w:val="7"/>
      </w:numPr>
    </w:pPr>
  </w:style>
  <w:style w:type="paragraph" w:styleId="BlockText">
    <w:name w:val="Block Text"/>
    <w:basedOn w:val="Normal"/>
    <w:rsid w:val="00BA3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7E3"/>
    <w:rPr>
      <w:sz w:val="16"/>
      <w:vertAlign w:val="superscript"/>
    </w:rPr>
  </w:style>
  <w:style w:type="character" w:customStyle="1" w:styleId="Symbols">
    <w:name w:val="Symbols"/>
    <w:basedOn w:val="DefaultParagraphFont"/>
    <w:rsid w:val="00BA37E3"/>
    <w:rPr>
      <w:rFonts w:ascii="Symbol" w:hAnsi="Symbol"/>
    </w:rPr>
  </w:style>
  <w:style w:type="character" w:customStyle="1" w:styleId="MenuOptions">
    <w:name w:val="Menu Options"/>
    <w:basedOn w:val="DefaultParagraphFont"/>
    <w:rsid w:val="00BA3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7E3"/>
    <w:rPr>
      <w:b/>
    </w:rPr>
  </w:style>
  <w:style w:type="character" w:customStyle="1" w:styleId="Underlined">
    <w:name w:val="Underlined"/>
    <w:basedOn w:val="DefaultParagraphFont"/>
    <w:rsid w:val="00BA37E3"/>
    <w:rPr>
      <w:u w:val="single"/>
    </w:rPr>
  </w:style>
  <w:style w:type="paragraph" w:customStyle="1" w:styleId="TableBodyTextRight">
    <w:name w:val="Table Body Text Right"/>
    <w:basedOn w:val="TableBodyText"/>
    <w:rsid w:val="00BA3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7E3"/>
    <w:rPr>
      <w:sz w:val="18"/>
    </w:rPr>
  </w:style>
  <w:style w:type="paragraph" w:customStyle="1" w:styleId="BodySmallRight">
    <w:name w:val="Body Small Right"/>
    <w:basedOn w:val="BodyTextRight"/>
    <w:rsid w:val="00BA37E3"/>
    <w:rPr>
      <w:sz w:val="18"/>
      <w:szCs w:val="18"/>
    </w:rPr>
  </w:style>
  <w:style w:type="paragraph" w:customStyle="1" w:styleId="MarginEdition">
    <w:name w:val="Margin Edition"/>
    <w:basedOn w:val="MarginNote"/>
    <w:rsid w:val="00BA3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7E3"/>
    <w:rPr>
      <w:sz w:val="2"/>
      <w:szCs w:val="2"/>
    </w:rPr>
  </w:style>
  <w:style w:type="character" w:customStyle="1" w:styleId="Small">
    <w:name w:val="Small"/>
    <w:basedOn w:val="DefaultParagraphFont"/>
    <w:rsid w:val="00BA37E3"/>
    <w:rPr>
      <w:sz w:val="16"/>
    </w:rPr>
  </w:style>
  <w:style w:type="paragraph" w:customStyle="1" w:styleId="WideTable">
    <w:name w:val="Wide Table"/>
    <w:basedOn w:val="Normal"/>
    <w:rsid w:val="00BA3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7E3"/>
  </w:style>
  <w:style w:type="paragraph" w:styleId="Quote">
    <w:name w:val="Quote"/>
    <w:basedOn w:val="Heading1"/>
    <w:link w:val="QuoteChar"/>
    <w:qFormat/>
    <w:rsid w:val="00BA3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7E3"/>
    <w:pPr>
      <w:pageBreakBefore/>
    </w:pPr>
  </w:style>
  <w:style w:type="paragraph" w:customStyle="1" w:styleId="Border">
    <w:name w:val="Border"/>
    <w:basedOn w:val="Normal"/>
    <w:qFormat/>
    <w:rsid w:val="00BA3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7E3"/>
    <w:rPr>
      <w:u w:val="single"/>
    </w:rPr>
  </w:style>
  <w:style w:type="character" w:customStyle="1" w:styleId="BoldandItalics">
    <w:name w:val="Bold and Italics"/>
    <w:qFormat/>
    <w:rsid w:val="00BA37E3"/>
    <w:rPr>
      <w:b/>
      <w:i/>
      <w:u w:val="none"/>
    </w:rPr>
  </w:style>
  <w:style w:type="paragraph" w:styleId="BalloonText">
    <w:name w:val="Balloon Text"/>
    <w:basedOn w:val="Normal"/>
    <w:link w:val="BalloonTextChar"/>
    <w:rsid w:val="00BA3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7E3"/>
    <w:pPr>
      <w:spacing w:before="0" w:after="0"/>
    </w:pPr>
  </w:style>
  <w:style w:type="paragraph" w:customStyle="1" w:styleId="BodyTextBold">
    <w:name w:val="Body Text Bold"/>
    <w:basedOn w:val="BodyText"/>
    <w:qFormat/>
    <w:rsid w:val="00BA37E3"/>
    <w:rPr>
      <w:b/>
    </w:rPr>
  </w:style>
  <w:style w:type="character" w:styleId="Hyperlink">
    <w:name w:val="Hyperlink"/>
    <w:basedOn w:val="DefaultParagraphFont"/>
    <w:uiPriority w:val="99"/>
    <w:unhideWhenUsed/>
    <w:rsid w:val="00255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5110</Characters>
  <Application>Microsoft Office Word</Application>
  <DocSecurity>0</DocSecurity>
  <Lines>131</Lines>
  <Paragraphs>87</Paragraphs>
  <ScaleCrop>false</ScaleCrop>
  <Company>Author-it Software Corporation Ltd.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RIIOGD506D Manage rig move and camp move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