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A90" w:rsidP="003B2A90">
      <w:pPr>
        <w:pStyle w:val="Title"/>
      </w:pPr>
      <w:r>
        <w:fldChar w:fldCharType="begin"/>
      </w:r>
      <w:r>
        <w:instrText xml:space="preserve"> TITLE   \* MERGEFORMAT </w:instrText>
      </w:r>
      <w:r>
        <w:fldChar w:fldCharType="separate"/>
      </w:r>
      <w:r>
        <w:t>Assessment Requirements for RIIOGD405D Carry out well control and blow out prevention</w:t>
      </w:r>
      <w:r>
        <w:fldChar w:fldCharType="end"/>
      </w:r>
    </w:p>
    <w:p w:rsidR="003B2A90" w:rsidP="003B2A90">
      <w:pPr>
        <w:pStyle w:val="Version"/>
        <w:sectPr w:rsidSect="00773B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73B0D" w:rsidP="00773B0D">
      <w:pPr>
        <w:pStyle w:val="SuperHeading"/>
      </w:pPr>
      <w:r w:rsidRPr="00773B0D">
        <w:t>Assessment Requirements for RIIOGD405D Carry out well control and blow out prevention</w:t>
      </w:r>
    </w:p>
    <w:p w:rsidR="00000000" w:rsidRPr="00773B0D" w:rsidP="00773B0D">
      <w:pPr>
        <w:pStyle w:val="Heading1"/>
      </w:pPr>
      <w:bookmarkStart w:id="1" w:name="O_691127"/>
      <w:bookmarkEnd w:id="1"/>
      <w:r w:rsidRPr="00773B0D">
        <w:t>Modification History</w:t>
      </w:r>
    </w:p>
    <w:tbl>
      <w:tblPr>
        <w:tblW w:w="0" w:type="auto"/>
        <w:tblCellMar>
          <w:left w:w="62" w:type="dxa"/>
          <w:right w:w="62" w:type="dxa"/>
        </w:tblCellMar>
        <w:tblLook w:val="0000"/>
      </w:tblPr>
      <w:tblGrid>
        <w:gridCol w:w="1107"/>
        <w:gridCol w:w="8089"/>
      </w:tblGrid>
      <w:tr w:rsidTr="003B2A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0D">
            <w:pPr>
              <w:pStyle w:val="Heading4"/>
              <w:rPr>
                <w:lang w:val="en-NZ"/>
              </w:rPr>
            </w:pPr>
            <w:r w:rsidRPr="00773B0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0D">
            <w:pPr>
              <w:pStyle w:val="Heading4"/>
              <w:rPr>
                <w:lang w:val="en-NZ"/>
              </w:rPr>
            </w:pPr>
            <w:r w:rsidRPr="00773B0D">
              <w:t>Comment</w:t>
            </w:r>
          </w:p>
        </w:tc>
      </w:tr>
      <w:tr w:rsidTr="003B2A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0D">
            <w:pPr>
              <w:pStyle w:val="BodyText"/>
              <w:rPr>
                <w:lang w:val="en-NZ"/>
              </w:rPr>
            </w:pPr>
            <w:r w:rsidRPr="00773B0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0D">
            <w:pPr>
              <w:pStyle w:val="BodyText"/>
              <w:rPr>
                <w:lang w:val="en-NZ"/>
              </w:rPr>
            </w:pPr>
            <w:r w:rsidRPr="00773B0D">
              <w:t>This unit replaces RIIOGD405A Carry out well control and blow out prevention</w:t>
            </w:r>
          </w:p>
        </w:tc>
      </w:tr>
      <w:tr w:rsidTr="003B2A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0D">
            <w:pPr>
              <w:pStyle w:val="BodyText"/>
              <w:rPr>
                <w:lang w:val="en-NZ"/>
              </w:rPr>
            </w:pPr>
            <w:r w:rsidRPr="00773B0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0D">
            <w:pPr>
              <w:pStyle w:val="BodyText"/>
              <w:rPr>
                <w:lang w:val="en-NZ"/>
              </w:rPr>
            </w:pPr>
            <w:r w:rsidRPr="00773B0D">
              <w:t>Performance Criteria amended to make requirements more explicit.</w:t>
            </w:r>
          </w:p>
        </w:tc>
      </w:tr>
      <w:tr w:rsidTr="003B2A9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B0D">
            <w:pPr>
              <w:pStyle w:val="BodyText"/>
              <w:rPr>
                <w:lang w:val="en-NZ"/>
              </w:rPr>
            </w:pPr>
            <w:r w:rsidRPr="00773B0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B0D" w:rsidP="00773B0D">
            <w:pPr>
              <w:pStyle w:val="BodyText"/>
            </w:pPr>
            <w:r w:rsidRPr="00773B0D">
              <w:t>Required frequency and volume of evidence amended in Performance evidence.</w:t>
            </w:r>
          </w:p>
          <w:p w:rsidR="00000000" w:rsidRPr="00773B0D" w:rsidP="00773B0D">
            <w:pPr>
              <w:pStyle w:val="BodyText"/>
            </w:pPr>
            <w:r w:rsidRPr="00773B0D">
              <w:t>Substantial amendments made in Assessment Conditions field, including: references to Industry Sectors, assessor a</w:t>
            </w:r>
            <w:r w:rsidRPr="00773B0D">
              <w:t>nd subject matter expert experience requirements, how assessment should be conducted and what it should confirm.</w:t>
            </w:r>
          </w:p>
        </w:tc>
      </w:tr>
    </w:tbl>
    <w:p w:rsidR="00000000" w:rsidRPr="00773B0D" w:rsidP="00773B0D">
      <w:pPr>
        <w:pStyle w:val="BodyText"/>
      </w:pPr>
    </w:p>
    <w:p w:rsidR="00000000" w:rsidRPr="00773B0D" w:rsidP="00773B0D">
      <w:pPr>
        <w:pStyle w:val="AllowPageBreak"/>
      </w:pPr>
    </w:p>
    <w:p w:rsidR="00000000" w:rsidRPr="00773B0D" w:rsidP="00773B0D">
      <w:pPr>
        <w:pStyle w:val="Heading1"/>
      </w:pPr>
      <w:bookmarkStart w:id="2" w:name="O_691126"/>
      <w:bookmarkEnd w:id="2"/>
      <w:r w:rsidRPr="00773B0D">
        <w:t>Performance Evidence</w:t>
      </w:r>
    </w:p>
    <w:p w:rsidR="00000000" w:rsidRPr="00773B0D" w:rsidP="003B2A90">
      <w:pPr>
        <w:pStyle w:val="BodyText"/>
      </w:pPr>
      <w:r w:rsidRPr="00773B0D">
        <w:t>Evidence is required to be collected that demonstrates a candidate’</w:t>
      </w:r>
      <w:r w:rsidRPr="00773B0D">
        <w:t>s competency in this unit. Evidence must be relevant to the roles within this sector’s work operations and satisfy all of the requirements of the performance criteria of this unit and include evidence that the candidate:</w:t>
      </w:r>
    </w:p>
    <w:p w:rsidR="00000000" w:rsidRPr="00773B0D" w:rsidP="00773B0D">
      <w:pPr>
        <w:pStyle w:val="ListBullet"/>
      </w:pPr>
      <w:r w:rsidRPr="00773B0D">
        <w:t>locates and applies relevant docum</w:t>
      </w:r>
      <w:r w:rsidRPr="00773B0D">
        <w:t>entation, policies and procedures</w:t>
      </w:r>
    </w:p>
    <w:p w:rsidR="00000000" w:rsidRPr="00773B0D" w:rsidP="00773B0D">
      <w:pPr>
        <w:pStyle w:val="ListBullet"/>
      </w:pPr>
      <w:r w:rsidRPr="00773B0D">
        <w:t>implements the requirements, procedures and techniques for the safe, effective and efficient well control and blow out prevention including:</w:t>
      </w:r>
    </w:p>
    <w:p w:rsidR="00000000" w:rsidRPr="00773B0D" w:rsidP="00773B0D">
      <w:pPr>
        <w:pStyle w:val="ListBullet2"/>
      </w:pPr>
      <w:r w:rsidRPr="00773B0D">
        <w:t>identifying, addressing and reporting potential hazards and risks</w:t>
      </w:r>
    </w:p>
    <w:p w:rsidR="00000000" w:rsidRPr="00773B0D" w:rsidP="00773B0D">
      <w:pPr>
        <w:pStyle w:val="ListBullet2"/>
      </w:pPr>
      <w:r w:rsidRPr="00773B0D">
        <w:t>controlling id</w:t>
      </w:r>
      <w:r w:rsidRPr="00773B0D">
        <w:t>entified hazards</w:t>
      </w:r>
    </w:p>
    <w:p w:rsidR="00000000" w:rsidRPr="00773B0D" w:rsidP="00773B0D">
      <w:pPr>
        <w:pStyle w:val="ListBullet2"/>
      </w:pPr>
      <w:r w:rsidRPr="00773B0D">
        <w:t xml:space="preserve">identifying, addressing and reporting environmental issues </w:t>
      </w:r>
    </w:p>
    <w:p w:rsidR="00000000" w:rsidRPr="00773B0D" w:rsidP="00773B0D">
      <w:pPr>
        <w:pStyle w:val="ListBullet2"/>
      </w:pPr>
      <w:r w:rsidRPr="00773B0D">
        <w:t>preparing written records and reports</w:t>
      </w:r>
    </w:p>
    <w:p w:rsidR="00000000" w:rsidRPr="00773B0D" w:rsidP="00773B0D">
      <w:pPr>
        <w:pStyle w:val="ListBullet2"/>
      </w:pPr>
      <w:r w:rsidRPr="00773B0D">
        <w:t>rectifying and/or reporting faults and malfunctions</w:t>
      </w:r>
    </w:p>
    <w:p w:rsidR="00000000" w:rsidRPr="00773B0D" w:rsidP="00773B0D">
      <w:pPr>
        <w:pStyle w:val="ListBullet"/>
      </w:pPr>
      <w:r w:rsidRPr="00773B0D">
        <w:t xml:space="preserve">works effectively with others to undertake and complete effective well control and blow </w:t>
      </w:r>
      <w:r w:rsidRPr="00773B0D">
        <w:t>out prevention that meets all required outcomes including:</w:t>
      </w:r>
    </w:p>
    <w:p w:rsidR="00000000" w:rsidRPr="00773B0D" w:rsidP="00773B0D">
      <w:pPr>
        <w:pStyle w:val="ListBullet2"/>
      </w:pPr>
      <w:r w:rsidRPr="00773B0D">
        <w:t>resolving coordination requirements with others at the site prior to commencing and during work activities</w:t>
      </w:r>
    </w:p>
    <w:p w:rsidR="00000000" w:rsidRPr="00773B0D" w:rsidP="00773B0D">
      <w:pPr>
        <w:pStyle w:val="ListBullet2"/>
      </w:pPr>
      <w:r w:rsidRPr="00773B0D">
        <w:t>preparing for and organising work activities to meet all task requirements</w:t>
      </w:r>
    </w:p>
    <w:p w:rsidR="00000000" w:rsidRPr="00773B0D" w:rsidP="00773B0D">
      <w:pPr>
        <w:pStyle w:val="ListBullet2"/>
      </w:pPr>
      <w:r w:rsidRPr="00773B0D">
        <w:t xml:space="preserve">using a range </w:t>
      </w:r>
      <w:r w:rsidRPr="00773B0D">
        <w:t>of communication techniques and aids to advise others of work activity and exclusion zones</w:t>
      </w:r>
    </w:p>
    <w:p w:rsidR="00000000" w:rsidRPr="00773B0D" w:rsidP="00773B0D">
      <w:pPr>
        <w:pStyle w:val="ListBullet"/>
      </w:pPr>
      <w:r w:rsidRPr="00773B0D">
        <w:t xml:space="preserve">demonstrates completion of well control and blow out prevention that safely, effectively </w:t>
      </w:r>
      <w:r w:rsidRPr="00773B0D">
        <w:t>and efficiently meets all of the required outcomes on more than one (1) occasion including:</w:t>
      </w:r>
    </w:p>
    <w:p w:rsidR="00000000" w:rsidRPr="00773B0D" w:rsidP="00773B0D">
      <w:pPr>
        <w:pStyle w:val="ListBullet2"/>
      </w:pPr>
      <w:r w:rsidRPr="00773B0D">
        <w:t>taking measurements such as:</w:t>
      </w:r>
    </w:p>
    <w:p w:rsidR="00000000" w:rsidRPr="00773B0D" w:rsidP="00773B0D">
      <w:pPr>
        <w:pStyle w:val="ListBullet3"/>
      </w:pPr>
      <w:r w:rsidRPr="00773B0D">
        <w:t>penetration rate</w:t>
      </w:r>
    </w:p>
    <w:p w:rsidR="00000000" w:rsidRPr="00773B0D" w:rsidP="00773B0D">
      <w:pPr>
        <w:pStyle w:val="ListBullet3"/>
      </w:pPr>
      <w:r w:rsidRPr="00773B0D">
        <w:t>circulating and pump pressure</w:t>
      </w:r>
    </w:p>
    <w:p w:rsidR="00000000" w:rsidRPr="00773B0D" w:rsidP="00773B0D">
      <w:pPr>
        <w:pStyle w:val="ListBullet3"/>
      </w:pPr>
      <w:r w:rsidRPr="00773B0D">
        <w:t>rotary torque</w:t>
      </w:r>
    </w:p>
    <w:p w:rsidR="00000000" w:rsidRPr="00773B0D" w:rsidP="00773B0D">
      <w:pPr>
        <w:pStyle w:val="ListBullet3"/>
      </w:pPr>
      <w:r w:rsidRPr="00773B0D">
        <w:t>active surface volume</w:t>
      </w:r>
    </w:p>
    <w:p w:rsidR="00000000" w:rsidRPr="00773B0D" w:rsidP="00773B0D">
      <w:pPr>
        <w:pStyle w:val="ListBullet3"/>
      </w:pPr>
      <w:r w:rsidRPr="00773B0D">
        <w:t>frequency</w:t>
      </w:r>
    </w:p>
    <w:p w:rsidR="00000000" w:rsidRPr="00773B0D" w:rsidP="00773B0D">
      <w:pPr>
        <w:pStyle w:val="ListBullet2"/>
      </w:pPr>
      <w:r w:rsidRPr="00773B0D">
        <w:t>making calculations and estimations, including::</w:t>
      </w:r>
    </w:p>
    <w:p w:rsidR="00000000" w:rsidRPr="00773B0D" w:rsidP="00773B0D">
      <w:pPr>
        <w:pStyle w:val="ListBullet3"/>
      </w:pPr>
      <w:r w:rsidRPr="00773B0D">
        <w:t>pressure</w:t>
      </w:r>
    </w:p>
    <w:p w:rsidR="00000000" w:rsidRPr="00773B0D" w:rsidP="00773B0D">
      <w:pPr>
        <w:pStyle w:val="ListBullet3"/>
      </w:pPr>
      <w:r w:rsidRPr="00773B0D">
        <w:t>density</w:t>
      </w:r>
    </w:p>
    <w:p w:rsidR="00000000" w:rsidRPr="00773B0D" w:rsidP="00773B0D">
      <w:pPr>
        <w:pStyle w:val="ListBullet3"/>
      </w:pPr>
      <w:r w:rsidRPr="00773B0D">
        <w:t>volume</w:t>
      </w:r>
    </w:p>
    <w:p w:rsidR="00000000" w:rsidRPr="00773B0D" w:rsidP="00773B0D">
      <w:pPr>
        <w:pStyle w:val="ListBullet3"/>
      </w:pPr>
      <w:r w:rsidRPr="00773B0D">
        <w:t>height</w:t>
      </w:r>
    </w:p>
    <w:p w:rsidR="00000000" w:rsidRPr="00773B0D" w:rsidP="00773B0D">
      <w:pPr>
        <w:pStyle w:val="ListBullet3"/>
      </w:pPr>
      <w:r w:rsidRPr="00773B0D">
        <w:t>velocity</w:t>
      </w:r>
    </w:p>
    <w:p w:rsidR="00000000" w:rsidRPr="00773B0D" w:rsidP="00773B0D">
      <w:pPr>
        <w:pStyle w:val="ListBullet3"/>
      </w:pPr>
      <w:r w:rsidRPr="00773B0D">
        <w:t>length</w:t>
      </w:r>
    </w:p>
    <w:p w:rsidR="00000000" w:rsidRPr="00773B0D" w:rsidP="00773B0D">
      <w:pPr>
        <w:pStyle w:val="ListBullet3"/>
      </w:pPr>
      <w:r w:rsidRPr="00773B0D">
        <w:t>weight</w:t>
      </w:r>
    </w:p>
    <w:p w:rsidR="00000000" w:rsidRPr="00773B0D" w:rsidP="00773B0D">
      <w:pPr>
        <w:pStyle w:val="ListBullet2"/>
      </w:pPr>
      <w:r w:rsidRPr="00773B0D">
        <w:t>interpreting gauges, graphs</w:t>
      </w:r>
    </w:p>
    <w:p w:rsidR="00000000" w:rsidRPr="00773B0D" w:rsidP="00773B0D">
      <w:pPr>
        <w:pStyle w:val="ListBullet2"/>
      </w:pPr>
      <w:r w:rsidRPr="00773B0D">
        <w:t>detecting kick warning signs and indicators</w:t>
      </w:r>
    </w:p>
    <w:p w:rsidR="00000000" w:rsidRPr="00773B0D" w:rsidP="00773B0D">
      <w:pPr>
        <w:pStyle w:val="ListBullet2"/>
      </w:pPr>
      <w:r w:rsidRPr="00773B0D">
        <w:t>completing trip and kill sheet records</w:t>
      </w:r>
    </w:p>
    <w:p w:rsidR="00000000" w:rsidRPr="00773B0D" w:rsidP="00773B0D">
      <w:pPr>
        <w:pStyle w:val="ListBullet2"/>
      </w:pPr>
      <w:r w:rsidRPr="00773B0D">
        <w:t>monitoring drilling operations</w:t>
      </w:r>
    </w:p>
    <w:p w:rsidR="00000000" w:rsidRPr="00773B0D" w:rsidP="00773B0D">
      <w:pPr>
        <w:pStyle w:val="AllowPageBreak"/>
      </w:pPr>
    </w:p>
    <w:p w:rsidR="00000000" w:rsidRPr="00773B0D" w:rsidP="00773B0D">
      <w:pPr>
        <w:pStyle w:val="Heading1"/>
      </w:pPr>
      <w:bookmarkStart w:id="3" w:name="O_691124"/>
      <w:bookmarkEnd w:id="3"/>
      <w:r w:rsidRPr="00773B0D">
        <w:t>Knowledge Evidence</w:t>
      </w:r>
    </w:p>
    <w:p w:rsidR="00000000" w:rsidRPr="00773B0D" w:rsidP="003B2A90">
      <w:pPr>
        <w:pStyle w:val="BodyText"/>
      </w:pPr>
      <w:r w:rsidRPr="00773B0D">
        <w:t>The candidate must demonstrate knowledge in applying well control and blow out prevention through:</w:t>
      </w:r>
    </w:p>
    <w:p w:rsidR="00000000" w:rsidRPr="00773B0D" w:rsidP="00773B0D">
      <w:pPr>
        <w:pStyle w:val="ListBullet"/>
      </w:pPr>
      <w:r w:rsidRPr="00773B0D">
        <w:t>accessing, interpreting and applying legislative, organization and site requirements and procedures for:</w:t>
      </w:r>
    </w:p>
    <w:p w:rsidR="00000000" w:rsidRPr="00773B0D" w:rsidP="00773B0D">
      <w:pPr>
        <w:pStyle w:val="ListBullet2"/>
      </w:pPr>
      <w:r w:rsidRPr="00773B0D">
        <w:t>setting up work activit</w:t>
      </w:r>
      <w:r w:rsidRPr="00773B0D">
        <w:t>y</w:t>
      </w:r>
    </w:p>
    <w:p w:rsidR="00000000" w:rsidRPr="00773B0D" w:rsidP="00773B0D">
      <w:pPr>
        <w:pStyle w:val="ListBullet2"/>
      </w:pPr>
      <w:r w:rsidRPr="00773B0D">
        <w:t>site isolation, signage and erecting barriers</w:t>
      </w:r>
    </w:p>
    <w:p w:rsidR="00000000" w:rsidRPr="00773B0D" w:rsidP="00773B0D">
      <w:pPr>
        <w:pStyle w:val="ListBullet2"/>
      </w:pPr>
      <w:r w:rsidRPr="00773B0D">
        <w:t>work health and safety</w:t>
      </w:r>
    </w:p>
    <w:p w:rsidR="00000000" w:rsidRPr="00773B0D" w:rsidP="00773B0D">
      <w:pPr>
        <w:pStyle w:val="ListBullet2"/>
      </w:pPr>
      <w:r w:rsidRPr="00773B0D">
        <w:t xml:space="preserve">selecting and checking for faults, all plant, tools and equipment </w:t>
      </w:r>
      <w:r w:rsidRPr="00773B0D">
        <w:tab/>
        <w:t>to carry out tasks</w:t>
      </w:r>
    </w:p>
    <w:p w:rsidR="00000000" w:rsidRPr="00773B0D" w:rsidP="00773B0D">
      <w:pPr>
        <w:pStyle w:val="ListBullet2"/>
      </w:pPr>
      <w:r w:rsidRPr="00773B0D">
        <w:t>carrying out work to specifications</w:t>
      </w:r>
    </w:p>
    <w:p w:rsidR="00000000" w:rsidRPr="00773B0D" w:rsidP="00773B0D">
      <w:pPr>
        <w:pStyle w:val="ListBullet2"/>
      </w:pPr>
      <w:r w:rsidRPr="00773B0D">
        <w:t>standard working practices and procedures</w:t>
      </w:r>
    </w:p>
    <w:p w:rsidR="00000000" w:rsidRPr="00773B0D" w:rsidP="00773B0D">
      <w:pPr>
        <w:pStyle w:val="ListBullet2"/>
      </w:pPr>
      <w:r w:rsidRPr="00773B0D">
        <w:t>correct methods to co</w:t>
      </w:r>
      <w:r w:rsidRPr="00773B0D">
        <w:t>ntrol identified hazards</w:t>
      </w:r>
    </w:p>
    <w:p w:rsidR="00000000" w:rsidRPr="00773B0D" w:rsidP="00773B0D">
      <w:pPr>
        <w:pStyle w:val="ListBullet2"/>
      </w:pPr>
      <w:r w:rsidRPr="00773B0D">
        <w:t xml:space="preserve">technical solutions for well control and blow out </w:t>
      </w:r>
      <w:r w:rsidRPr="00773B0D">
        <w:tab/>
        <w:t>prevention</w:t>
      </w:r>
    </w:p>
    <w:p w:rsidR="00000000" w:rsidRPr="00773B0D" w:rsidP="00773B0D">
      <w:pPr>
        <w:pStyle w:val="ListBullet2"/>
      </w:pPr>
      <w:r w:rsidRPr="00773B0D">
        <w:t>kick detection methods and responses</w:t>
      </w:r>
    </w:p>
    <w:p w:rsidR="00000000" w:rsidRPr="00773B0D" w:rsidP="00773B0D">
      <w:pPr>
        <w:pStyle w:val="ListBullet2"/>
      </w:pPr>
      <w:r w:rsidRPr="00773B0D">
        <w:t>using well control and auxiliary equipment</w:t>
      </w:r>
    </w:p>
    <w:p w:rsidR="00000000" w:rsidRPr="00773B0D" w:rsidP="00773B0D">
      <w:pPr>
        <w:pStyle w:val="ListBullet2"/>
      </w:pPr>
      <w:r w:rsidRPr="00773B0D">
        <w:t xml:space="preserve">delegating roles and responsibilities of assistants </w:t>
      </w:r>
    </w:p>
    <w:p w:rsidR="00000000" w:rsidRPr="00773B0D" w:rsidP="00773B0D">
      <w:pPr>
        <w:pStyle w:val="ListBullet2"/>
      </w:pPr>
      <w:r w:rsidRPr="00773B0D">
        <w:t>maintaining equipment</w:t>
      </w:r>
    </w:p>
    <w:p w:rsidR="00000000" w:rsidRPr="00773B0D" w:rsidP="00773B0D">
      <w:pPr>
        <w:pStyle w:val="ListBullet2"/>
      </w:pPr>
      <w:r w:rsidRPr="00773B0D">
        <w:t>taking measurements and making calculations</w:t>
      </w:r>
    </w:p>
    <w:p w:rsidR="00000000" w:rsidRPr="00773B0D" w:rsidP="00773B0D">
      <w:pPr>
        <w:pStyle w:val="ListBullet2"/>
      </w:pPr>
      <w:r w:rsidRPr="00773B0D">
        <w:t>responding to emergency situations</w:t>
      </w:r>
    </w:p>
    <w:p w:rsidR="00000000" w:rsidRPr="00773B0D" w:rsidP="00773B0D">
      <w:pPr>
        <w:pStyle w:val="AllowPageBreak"/>
      </w:pPr>
    </w:p>
    <w:p w:rsidR="00000000" w:rsidRPr="00773B0D" w:rsidP="00773B0D">
      <w:pPr>
        <w:pStyle w:val="Heading1"/>
      </w:pPr>
      <w:bookmarkStart w:id="4" w:name="O_691123"/>
      <w:bookmarkEnd w:id="4"/>
      <w:r w:rsidRPr="00773B0D">
        <w:t>Assessment Conditions</w:t>
      </w:r>
    </w:p>
    <w:p w:rsidR="00000000" w:rsidRPr="00773B0D" w:rsidP="00773B0D">
      <w:pPr>
        <w:pStyle w:val="ListBullet"/>
      </w:pPr>
      <w:r w:rsidRPr="00773B0D">
        <w:t>An assessor of this unit must satisfy the requirements of the NVR/AQTF or their successors; and Industry regulations for certification an</w:t>
      </w:r>
      <w:r w:rsidRPr="00773B0D">
        <w:t xml:space="preserve">d licensing; and, </w:t>
      </w:r>
    </w:p>
    <w:p w:rsidR="00000000" w:rsidRPr="00773B0D" w:rsidP="00773B0D">
      <w:pPr>
        <w:pStyle w:val="ListBullet"/>
      </w:pPr>
      <w:r w:rsidRPr="00773B0D">
        <w:t>this unit is best assessed in the context of this sector’s work environment;</w:t>
      </w:r>
    </w:p>
    <w:p w:rsidR="00000000" w:rsidRPr="00773B0D" w:rsidP="00773B0D">
      <w:pPr>
        <w:pStyle w:val="ListBullet"/>
      </w:pPr>
      <w:r w:rsidRPr="00773B0D">
        <w:t>where personal safety or environmental damage are limiting factors, assessment may occur in a simulated environment provided it is realistic and sufficiently ri</w:t>
      </w:r>
      <w:r w:rsidRPr="00773B0D">
        <w:t>gorous to cover all aspects of this sector’s workplace performance, including environment, task skills, task management skills, contingency management skills and job role environment skills; and,</w:t>
      </w:r>
    </w:p>
    <w:p w:rsidR="00000000" w:rsidRPr="00773B0D" w:rsidP="00773B0D">
      <w:pPr>
        <w:pStyle w:val="ListBullet"/>
      </w:pPr>
      <w:r w:rsidRPr="00773B0D">
        <w:t>this unit must be assessed in compliance with relevant legis</w:t>
      </w:r>
      <w:r w:rsidRPr="00773B0D">
        <w:t>lation/regulation and using policies, procedures, processes and operational manuals directly related to the industry sector for which it is being assessed; and,</w:t>
      </w:r>
    </w:p>
    <w:p w:rsidR="00000000" w:rsidRPr="00773B0D" w:rsidP="00773B0D">
      <w:pPr>
        <w:pStyle w:val="ListBullet"/>
      </w:pPr>
      <w:r w:rsidRPr="00773B0D">
        <w:t>assessment may be conducted in conjunction with the assessment of other Units of Competency; an</w:t>
      </w:r>
      <w:r w:rsidRPr="00773B0D">
        <w:t>d,</w:t>
      </w:r>
    </w:p>
    <w:p w:rsidR="00000000" w:rsidRPr="00773B0D" w:rsidP="00773B0D">
      <w:pPr>
        <w:pStyle w:val="ListBullet"/>
      </w:pPr>
      <w:r w:rsidRPr="00773B0D">
        <w:t>assessment must confirm consistent performance can be applied in a range of relevant workplace circumstances; and,</w:t>
      </w:r>
    </w:p>
    <w:p w:rsidR="00000000" w:rsidRPr="00773B0D" w:rsidP="00773B0D">
      <w:pPr>
        <w:pStyle w:val="ListBullet"/>
      </w:pPr>
      <w:r w:rsidRPr="00773B0D">
        <w:t>assessors must demonstrate the performance evidence, and knowledge evidence as outlined in this Unit of Competency, and through the minimu</w:t>
      </w:r>
      <w:r w:rsidRPr="00773B0D">
        <w:t>m years of current* work experience specified below in an Industry sector relevant to the outcomes of the unit; or,</w:t>
      </w:r>
    </w:p>
    <w:p w:rsidR="00000000" w:rsidRPr="00773B0D" w:rsidP="00773B0D">
      <w:pPr>
        <w:pStyle w:val="ListBullet"/>
      </w:pPr>
      <w:r w:rsidRPr="00773B0D">
        <w:t>where the assessor does not meet experience requirements a co-assessment or partnership arrangement must exist between the qualified assesso</w:t>
      </w:r>
      <w:r w:rsidRPr="00773B0D">
        <w:t>r and an Industry subject matter expert. The Industry subject matter expert should hold the unit being assessed (or an equivalent unit) and/or demonstrate equivalence of skills and knowledge at the unit level. An Industry technical expert must also demonst</w:t>
      </w:r>
      <w:r w:rsidRPr="00773B0D">
        <w:t>rate skills and knowledge from the minimum years of current work experience specified below in the Industry sector, including time spent in roles related to the unit being assessed; and,</w:t>
      </w:r>
    </w:p>
    <w:p w:rsidR="00000000" w:rsidRPr="00773B0D" w:rsidP="00773B0D">
      <w:pPr>
        <w:pStyle w:val="ListBullet"/>
      </w:pPr>
      <w:r w:rsidRPr="00773B0D">
        <w:t>assessor and Industry subject matter expert requirements differ depen</w:t>
      </w:r>
      <w:r w:rsidRPr="00773B0D">
        <w:t>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73B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SubHeading1"/>
              <w:rPr>
                <w:lang w:val="en-NZ"/>
              </w:rPr>
            </w:pPr>
            <w:r w:rsidRPr="00773B0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SubHeading1"/>
              <w:rPr>
                <w:lang w:val="en-NZ"/>
              </w:rPr>
            </w:pPr>
            <w:r w:rsidRPr="00773B0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SubHeading1"/>
              <w:rPr>
                <w:lang w:val="en-NZ"/>
              </w:rPr>
            </w:pPr>
            <w:r w:rsidRPr="00773B0D">
              <w:t>Required assessor or Industry subject matter expert experience</w:t>
            </w:r>
          </w:p>
        </w:tc>
      </w:tr>
      <w:tr w:rsidTr="00773B0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1 Year</w:t>
            </w:r>
          </w:p>
        </w:tc>
      </w:tr>
      <w:tr w:rsidTr="00773B0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2 Years</w:t>
            </w:r>
          </w:p>
        </w:tc>
      </w:tr>
      <w:tr w:rsidTr="00773B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3 Years</w:t>
            </w:r>
          </w:p>
        </w:tc>
      </w:tr>
      <w:tr w:rsidTr="00773B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5 Years</w:t>
            </w:r>
          </w:p>
        </w:tc>
      </w:tr>
      <w:tr w:rsidTr="00773B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B0D">
            <w:pPr>
              <w:pStyle w:val="BodyText"/>
              <w:rPr>
                <w:lang w:val="en-NZ"/>
              </w:rPr>
            </w:pPr>
            <w:r w:rsidRPr="00773B0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3B0D" w:rsidP="00773B0D">
            <w:pPr>
              <w:pStyle w:val="BodyText"/>
            </w:pPr>
            <w:r w:rsidRPr="00773B0D">
              <w:t>Where this Unit is being assessed outside of the Resources and Infrastructure Sectors assessor and/or Industry subject matter expert experience should be in-line with industry standards for the sector in which it is being assessed and where no Industry sta</w:t>
            </w:r>
            <w:r w:rsidRPr="00773B0D">
              <w:t>ndard is specified should comply with any relevant regulation.</w:t>
            </w:r>
          </w:p>
        </w:tc>
      </w:tr>
    </w:tbl>
    <w:p w:rsidR="00000000" w:rsidRPr="00773B0D" w:rsidP="003B2A90">
      <w:pPr>
        <w:pStyle w:val="BodyText"/>
      </w:pPr>
      <w:r w:rsidRPr="00773B0D">
        <w:t>*Assessors can demonstrate current work experience through employment within Industry in a role relevant to the outcomes of the Unit; or, for external assessors this can be demonstrated throu</w:t>
      </w:r>
      <w:r w:rsidRPr="00773B0D">
        <w:t>gh exposure to Industry by conducting frequent site assessments across various locations.</w:t>
      </w:r>
    </w:p>
    <w:p w:rsidR="00000000" w:rsidRPr="00773B0D" w:rsidP="003B2A90">
      <w:pPr>
        <w:pStyle w:val="BodyText"/>
      </w:pPr>
      <w:r w:rsidRPr="00773B0D">
        <w:t>**Where a unit is being delivered outside of a Qualification the first numeric character in the Unit code should be considered to indicate the AQF level</w:t>
      </w:r>
    </w:p>
    <w:p w:rsidR="00000000" w:rsidRPr="00773B0D" w:rsidP="00773B0D">
      <w:pPr>
        <w:pStyle w:val="Heading1"/>
      </w:pPr>
      <w:bookmarkStart w:id="5" w:name="O_691137"/>
      <w:bookmarkEnd w:id="5"/>
      <w:r w:rsidRPr="00773B0D">
        <w:t>Links</w:t>
      </w:r>
    </w:p>
    <w:p w:rsidR="00000000" w:rsidRPr="00773B0D" w:rsidP="003B2A90">
      <w:pPr>
        <w:pStyle w:val="BodyText"/>
      </w:pPr>
      <w:r w:rsidRPr="00773B0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7A97">
        <w:rPr>
          <w:rStyle w:val="Hyperlink"/>
        </w:rPr>
        <w:t>https://vetnet.gov.au/Pages/TrainingDocs.aspx?q=88a61002-9a21-4386-aaf8-69c76e675272</w:t>
      </w:r>
      <w:r>
        <w:fldChar w:fldCharType="end"/>
      </w:r>
    </w:p>
    <w:p w:rsidR="00000000" w:rsidRPr="00773B0D" w:rsidP="00773B0D"/>
    <w:sectPr w:rsidSect="00773B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0D" w:rsidRPr="003B2A90" w:rsidP="003B2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A90" w:rsidP="00773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2A90" w:rsidP="00773B0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B2A90" w:rsidP="00773B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A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B0D" w:rsidRPr="003B2A90" w:rsidP="003B2A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A90" w:rsidRPr="002D2AF8" w:rsidP="00773B0D">
    <w:pPr>
      <w:pStyle w:val="Header"/>
      <w:framePr w:wrap="around"/>
    </w:pPr>
    <w:r>
      <w:fldChar w:fldCharType="begin"/>
    </w:r>
    <w:r>
      <w:instrText xml:space="preserve"> TITLE   \* MERGEFORMAT </w:instrText>
    </w:r>
    <w:r>
      <w:fldChar w:fldCharType="separate"/>
    </w:r>
    <w:r>
      <w:t>Assessment Requirements for RIIOGD405D Carry out well control and blow out prevention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B2A90" w:rsidP="00773B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209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AB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84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B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B0D"/>
    <w:pPr>
      <w:spacing w:before="360" w:after="60"/>
      <w:outlineLvl w:val="0"/>
    </w:pPr>
    <w:rPr>
      <w:sz w:val="32"/>
    </w:rPr>
  </w:style>
  <w:style w:type="paragraph" w:styleId="Heading2">
    <w:name w:val="heading 2"/>
    <w:basedOn w:val="HeadingBase"/>
    <w:next w:val="BodyText"/>
    <w:link w:val="Heading2Char"/>
    <w:qFormat/>
    <w:rsid w:val="00773B0D"/>
    <w:pPr>
      <w:keepLines/>
      <w:spacing w:before="240" w:after="120"/>
      <w:outlineLvl w:val="1"/>
    </w:pPr>
    <w:rPr>
      <w:sz w:val="28"/>
      <w:szCs w:val="40"/>
    </w:rPr>
  </w:style>
  <w:style w:type="paragraph" w:styleId="Heading3">
    <w:name w:val="heading 3"/>
    <w:basedOn w:val="HeadingBase"/>
    <w:next w:val="BodyText"/>
    <w:link w:val="Heading3Char"/>
    <w:qFormat/>
    <w:rsid w:val="00773B0D"/>
    <w:pPr>
      <w:spacing w:before="180" w:after="120"/>
      <w:outlineLvl w:val="2"/>
    </w:pPr>
    <w:rPr>
      <w:spacing w:val="-10"/>
      <w:kern w:val="32"/>
    </w:rPr>
  </w:style>
  <w:style w:type="paragraph" w:styleId="Heading4">
    <w:name w:val="heading 4"/>
    <w:basedOn w:val="HeadingBase"/>
    <w:next w:val="BodyText"/>
    <w:link w:val="Heading4Char"/>
    <w:qFormat/>
    <w:rsid w:val="00773B0D"/>
    <w:pPr>
      <w:spacing w:before="160" w:after="120"/>
      <w:outlineLvl w:val="3"/>
    </w:pPr>
    <w:rPr>
      <w:sz w:val="22"/>
    </w:rPr>
  </w:style>
  <w:style w:type="paragraph" w:styleId="Heading5">
    <w:name w:val="heading 5"/>
    <w:basedOn w:val="HeadingBase"/>
    <w:next w:val="Normal"/>
    <w:link w:val="Heading5Char"/>
    <w:qFormat/>
    <w:rsid w:val="00773B0D"/>
    <w:pPr>
      <w:spacing w:before="80"/>
      <w:outlineLvl w:val="4"/>
    </w:pPr>
    <w:rPr>
      <w:color w:val="918585"/>
      <w:sz w:val="20"/>
    </w:rPr>
  </w:style>
  <w:style w:type="paragraph" w:styleId="Heading6">
    <w:name w:val="heading 6"/>
    <w:basedOn w:val="HeadingBase"/>
    <w:next w:val="Normal"/>
    <w:link w:val="Heading6Char"/>
    <w:qFormat/>
    <w:rsid w:val="00773B0D"/>
    <w:pPr>
      <w:spacing w:before="60"/>
      <w:outlineLvl w:val="5"/>
    </w:pPr>
    <w:rPr>
      <w:color w:val="918585"/>
      <w:sz w:val="20"/>
    </w:rPr>
  </w:style>
  <w:style w:type="paragraph" w:styleId="Heading7">
    <w:name w:val="heading 7"/>
    <w:basedOn w:val="Normal"/>
    <w:next w:val="Normal"/>
    <w:link w:val="Heading7Char"/>
    <w:qFormat/>
    <w:rsid w:val="00773B0D"/>
    <w:pPr>
      <w:ind w:left="720"/>
      <w:outlineLvl w:val="6"/>
    </w:pPr>
    <w:rPr>
      <w:i/>
    </w:rPr>
  </w:style>
  <w:style w:type="paragraph" w:styleId="Heading8">
    <w:name w:val="heading 8"/>
    <w:basedOn w:val="Normal"/>
    <w:next w:val="Normal"/>
    <w:link w:val="Heading8Char"/>
    <w:qFormat/>
    <w:rsid w:val="00773B0D"/>
    <w:pPr>
      <w:ind w:left="720"/>
      <w:outlineLvl w:val="7"/>
    </w:pPr>
    <w:rPr>
      <w:i/>
    </w:rPr>
  </w:style>
  <w:style w:type="paragraph" w:styleId="Heading9">
    <w:name w:val="heading 9"/>
    <w:basedOn w:val="Normal"/>
    <w:next w:val="Normal"/>
    <w:link w:val="Heading9Char"/>
    <w:qFormat/>
    <w:rsid w:val="00773B0D"/>
    <w:pPr>
      <w:ind w:left="720"/>
      <w:outlineLvl w:val="8"/>
    </w:pPr>
    <w:rPr>
      <w:i/>
    </w:rPr>
  </w:style>
  <w:style w:type="character" w:default="1" w:styleId="DefaultParagraphFont">
    <w:name w:val="Default Paragraph Font"/>
    <w:uiPriority w:val="1"/>
    <w:unhideWhenUsed/>
    <w:rsid w:val="00773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B0D"/>
  </w:style>
  <w:style w:type="character" w:customStyle="1" w:styleId="Heading1Char">
    <w:name w:val="Heading 1 Char"/>
    <w:basedOn w:val="DefaultParagraphFont"/>
    <w:link w:val="Heading1"/>
    <w:rsid w:val="00773B0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73B0D"/>
    <w:rPr>
      <w:rFonts w:ascii="Times New Roman" w:eastAsia="Times New Roman" w:hAnsi="Times New Roman" w:cs="Times New Roman"/>
      <w:b/>
      <w:szCs w:val="20"/>
      <w:lang w:eastAsia="en-US"/>
    </w:rPr>
  </w:style>
  <w:style w:type="paragraph" w:styleId="BodyText">
    <w:name w:val="Body Text"/>
    <w:basedOn w:val="Normal"/>
    <w:link w:val="BodyTextChar"/>
    <w:rsid w:val="00773B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B0D"/>
    <w:rPr>
      <w:rFonts w:ascii="Times New Roman" w:eastAsia="Times New Roman" w:hAnsi="Times New Roman" w:cs="Times New Roman"/>
      <w:sz w:val="24"/>
      <w:lang w:eastAsia="en-US"/>
    </w:rPr>
  </w:style>
  <w:style w:type="paragraph" w:styleId="ListBullet">
    <w:name w:val="List Bullet"/>
    <w:basedOn w:val="List"/>
    <w:rsid w:val="00773B0D"/>
    <w:pPr>
      <w:numPr>
        <w:numId w:val="13"/>
      </w:numPr>
      <w:tabs>
        <w:tab w:val="clear" w:pos="340"/>
      </w:tabs>
      <w:spacing w:before="40" w:after="40"/>
    </w:pPr>
  </w:style>
  <w:style w:type="paragraph" w:styleId="ListBullet2">
    <w:name w:val="List Bullet 2"/>
    <w:basedOn w:val="List2"/>
    <w:rsid w:val="00773B0D"/>
    <w:pPr>
      <w:numPr>
        <w:numId w:val="14"/>
      </w:numPr>
      <w:tabs>
        <w:tab w:val="clear" w:pos="680"/>
      </w:tabs>
    </w:pPr>
  </w:style>
  <w:style w:type="paragraph" w:customStyle="1" w:styleId="SuperHeading">
    <w:name w:val="SuperHeading"/>
    <w:basedOn w:val="Normal"/>
    <w:rsid w:val="00773B0D"/>
    <w:pPr>
      <w:spacing w:before="240" w:after="120"/>
      <w:outlineLvl w:val="0"/>
    </w:pPr>
    <w:rPr>
      <w:rFonts w:ascii="Times New Roman" w:hAnsi="Times New Roman"/>
      <w:b/>
      <w:sz w:val="32"/>
    </w:rPr>
  </w:style>
  <w:style w:type="paragraph" w:customStyle="1" w:styleId="AllowPageBreak">
    <w:name w:val="AllowPageBreak"/>
    <w:rsid w:val="00773B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73B0D"/>
    <w:pPr>
      <w:spacing w:before="240" w:after="60"/>
    </w:pPr>
    <w:rPr>
      <w:color w:val="918585"/>
      <w:sz w:val="22"/>
    </w:rPr>
  </w:style>
  <w:style w:type="paragraph" w:styleId="ListBullet3">
    <w:name w:val="List Bullet 3"/>
    <w:basedOn w:val="List3"/>
    <w:rsid w:val="00773B0D"/>
    <w:pPr>
      <w:numPr>
        <w:numId w:val="3"/>
      </w:numPr>
      <w:tabs>
        <w:tab w:val="clear" w:pos="1021"/>
      </w:tabs>
      <w:ind w:left="1037" w:hanging="357"/>
    </w:pPr>
  </w:style>
  <w:style w:type="character" w:customStyle="1" w:styleId="Heading2Char">
    <w:name w:val="Heading 2 Char"/>
    <w:basedOn w:val="DefaultParagraphFont"/>
    <w:link w:val="Heading2"/>
    <w:rsid w:val="00773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B0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73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B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B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B0D"/>
    <w:rPr>
      <w:rFonts w:ascii="Courier New" w:eastAsia="Times New Roman" w:hAnsi="Courier New" w:cs="Times New Roman"/>
      <w:i/>
      <w:szCs w:val="20"/>
      <w:lang w:eastAsia="en-US"/>
    </w:rPr>
  </w:style>
  <w:style w:type="paragraph" w:customStyle="1" w:styleId="HeadingBase">
    <w:name w:val="Heading Base"/>
    <w:rsid w:val="00773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B0D"/>
    <w:pPr>
      <w:tabs>
        <w:tab w:val="right" w:leader="dot" w:pos="9072"/>
      </w:tabs>
      <w:ind w:left="567"/>
    </w:pPr>
    <w:rPr>
      <w:szCs w:val="22"/>
    </w:rPr>
  </w:style>
  <w:style w:type="paragraph" w:customStyle="1" w:styleId="TOCBase">
    <w:name w:val="TOC Base"/>
    <w:rsid w:val="00773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B0D"/>
    <w:pPr>
      <w:tabs>
        <w:tab w:val="right" w:leader="dot" w:pos="9072"/>
      </w:tabs>
      <w:spacing w:before="40" w:after="40"/>
      <w:ind w:left="284"/>
    </w:pPr>
    <w:rPr>
      <w:rFonts w:ascii="Times New Roman" w:hAnsi="Times New Roman"/>
    </w:rPr>
  </w:style>
  <w:style w:type="paragraph" w:styleId="TOC1">
    <w:name w:val="toc 1"/>
    <w:basedOn w:val="TOCBase"/>
    <w:next w:val="Normal"/>
    <w:rsid w:val="00773B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B0D"/>
    <w:rPr>
      <w:rFonts w:ascii="Times New Roman" w:eastAsia="Times New Roman" w:hAnsi="Times New Roman" w:cs="Times New Roman"/>
      <w:sz w:val="16"/>
      <w:lang w:eastAsia="en-US"/>
    </w:rPr>
  </w:style>
  <w:style w:type="paragraph" w:styleId="Title">
    <w:name w:val="Title"/>
    <w:basedOn w:val="HeadingBase"/>
    <w:link w:val="TitleChar"/>
    <w:qFormat/>
    <w:rsid w:val="00773B0D"/>
    <w:pPr>
      <w:spacing w:before="5040"/>
      <w:jc w:val="center"/>
    </w:pPr>
    <w:rPr>
      <w:sz w:val="48"/>
      <w:szCs w:val="72"/>
      <w:lang w:val="en-US"/>
    </w:rPr>
  </w:style>
  <w:style w:type="character" w:customStyle="1" w:styleId="TitleChar">
    <w:name w:val="Title Char"/>
    <w:basedOn w:val="DefaultParagraphFont"/>
    <w:link w:val="Title"/>
    <w:rsid w:val="00773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B0D"/>
    <w:pPr>
      <w:tabs>
        <w:tab w:val="left" w:pos="3600"/>
        <w:tab w:val="left" w:pos="3958"/>
      </w:tabs>
    </w:pPr>
  </w:style>
  <w:style w:type="paragraph" w:styleId="List">
    <w:name w:val="List"/>
    <w:basedOn w:val="BodyText"/>
    <w:next w:val="BodyText"/>
    <w:rsid w:val="00773B0D"/>
    <w:pPr>
      <w:tabs>
        <w:tab w:val="left" w:pos="340"/>
      </w:tabs>
      <w:spacing w:before="60" w:after="60"/>
      <w:ind w:left="340" w:hanging="340"/>
    </w:pPr>
  </w:style>
  <w:style w:type="paragraph" w:customStyle="1" w:styleId="Note">
    <w:name w:val="Note"/>
    <w:basedOn w:val="BodyText"/>
    <w:rsid w:val="00773B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3B0D"/>
    <w:rPr>
      <w:b/>
      <w:spacing w:val="0"/>
    </w:rPr>
  </w:style>
  <w:style w:type="paragraph" w:customStyle="1" w:styleId="SuperTitle">
    <w:name w:val="SuperTitle"/>
    <w:basedOn w:val="Title"/>
    <w:rsid w:val="00773B0D"/>
    <w:pPr>
      <w:framePr w:wrap="auto" w:hAnchor="text" w:y="6049"/>
    </w:pPr>
    <w:rPr>
      <w:color w:val="000000"/>
      <w:sz w:val="40"/>
    </w:rPr>
  </w:style>
  <w:style w:type="paragraph" w:customStyle="1" w:styleId="TOCTitle">
    <w:name w:val="TOCTitle"/>
    <w:basedOn w:val="Heading1"/>
    <w:rsid w:val="00773B0D"/>
    <w:pPr>
      <w:spacing w:after="240"/>
      <w:jc w:val="center"/>
      <w:outlineLvl w:val="9"/>
    </w:pPr>
    <w:rPr>
      <w:caps/>
    </w:rPr>
  </w:style>
  <w:style w:type="paragraph" w:customStyle="1" w:styleId="Version">
    <w:name w:val="Version"/>
    <w:rsid w:val="00773B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B0D"/>
    <w:pPr>
      <w:keepNext w:val="0"/>
      <w:tabs>
        <w:tab w:val="right" w:pos="4176"/>
      </w:tabs>
      <w:ind w:left="198" w:hanging="198"/>
    </w:pPr>
    <w:rPr>
      <w:rFonts w:ascii="Garamond" w:hAnsi="Garamond"/>
    </w:rPr>
  </w:style>
  <w:style w:type="paragraph" w:styleId="IndexHeading">
    <w:name w:val="index heading"/>
    <w:basedOn w:val="Normal"/>
    <w:next w:val="Index1"/>
    <w:semiHidden/>
    <w:rsid w:val="00773B0D"/>
    <w:pPr>
      <w:spacing w:before="120" w:after="120"/>
    </w:pPr>
    <w:rPr>
      <w:rFonts w:ascii="Arial" w:hAnsi="Arial"/>
      <w:b/>
      <w:color w:val="918585"/>
      <w:sz w:val="24"/>
    </w:rPr>
  </w:style>
  <w:style w:type="paragraph" w:styleId="Header">
    <w:name w:val="header"/>
    <w:basedOn w:val="Normal"/>
    <w:link w:val="HeaderChar"/>
    <w:rsid w:val="00773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B0D"/>
    <w:rPr>
      <w:rFonts w:ascii="Times New Roman" w:eastAsia="Times New Roman" w:hAnsi="Times New Roman" w:cs="Times New Roman"/>
      <w:sz w:val="16"/>
      <w:szCs w:val="20"/>
      <w:lang w:val="en-GB" w:eastAsia="en-US"/>
    </w:rPr>
  </w:style>
  <w:style w:type="paragraph" w:customStyle="1" w:styleId="Chapter">
    <w:name w:val="Chapter"/>
    <w:basedOn w:val="Normal"/>
    <w:rsid w:val="00773B0D"/>
    <w:pPr>
      <w:spacing w:before="240"/>
    </w:pPr>
    <w:rPr>
      <w:rFonts w:ascii="Times New Roman" w:hAnsi="Times New Roman"/>
      <w:smallCaps/>
      <w:spacing w:val="80"/>
      <w:sz w:val="28"/>
    </w:rPr>
  </w:style>
  <w:style w:type="paragraph" w:customStyle="1" w:styleId="InChapter">
    <w:name w:val="InChapter"/>
    <w:basedOn w:val="Heading3"/>
    <w:rsid w:val="00773B0D"/>
    <w:pPr>
      <w:spacing w:after="240"/>
      <w:outlineLvl w:val="9"/>
    </w:pPr>
    <w:rPr>
      <w:noProof/>
    </w:rPr>
  </w:style>
  <w:style w:type="paragraph" w:styleId="Index2">
    <w:name w:val="index 2"/>
    <w:basedOn w:val="Normal"/>
    <w:next w:val="Normal"/>
    <w:semiHidden/>
    <w:rsid w:val="00773B0D"/>
    <w:pPr>
      <w:tabs>
        <w:tab w:val="right" w:pos="4176"/>
      </w:tabs>
      <w:ind w:left="568" w:hanging="284"/>
    </w:pPr>
    <w:rPr>
      <w:rFonts w:ascii="Garamond" w:hAnsi="Garamond"/>
    </w:rPr>
  </w:style>
  <w:style w:type="paragraph" w:customStyle="1" w:styleId="Byline">
    <w:name w:val="Byline"/>
    <w:rsid w:val="00773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B0D"/>
    <w:pPr>
      <w:tabs>
        <w:tab w:val="clear" w:pos="3600"/>
        <w:tab w:val="clear" w:pos="3958"/>
      </w:tabs>
      <w:jc w:val="right"/>
    </w:pPr>
  </w:style>
  <w:style w:type="character" w:styleId="Emphasis">
    <w:name w:val="Emphasis"/>
    <w:basedOn w:val="DefaultParagraphFont"/>
    <w:qFormat/>
    <w:rsid w:val="00773B0D"/>
    <w:rPr>
      <w:i/>
    </w:rPr>
  </w:style>
  <w:style w:type="paragraph" w:styleId="Caption">
    <w:name w:val="caption"/>
    <w:basedOn w:val="BodyText"/>
    <w:next w:val="Normal"/>
    <w:qFormat/>
    <w:rsid w:val="00773B0D"/>
    <w:pPr>
      <w:framePr w:w="2268" w:hSpace="181" w:vSpace="181" w:wrap="around" w:vAnchor="text" w:hAnchor="page" w:x="1135" w:y="285" w:anchorLock="1"/>
    </w:pPr>
    <w:rPr>
      <w:i/>
    </w:rPr>
  </w:style>
  <w:style w:type="paragraph" w:customStyle="1" w:styleId="MiniTOCTitle">
    <w:name w:val="MiniTOCTitle"/>
    <w:basedOn w:val="Heading4"/>
    <w:rsid w:val="00773B0D"/>
    <w:pPr>
      <w:spacing w:before="240"/>
      <w:outlineLvl w:val="9"/>
    </w:pPr>
    <w:rPr>
      <w:noProof/>
      <w:sz w:val="24"/>
    </w:rPr>
  </w:style>
  <w:style w:type="paragraph" w:customStyle="1" w:styleId="MiniTOCItem">
    <w:name w:val="MiniTOCItem"/>
    <w:basedOn w:val="ListBullet"/>
    <w:rsid w:val="00773B0D"/>
    <w:pPr>
      <w:numPr>
        <w:numId w:val="0"/>
      </w:numPr>
      <w:tabs>
        <w:tab w:val="right" w:leader="dot" w:pos="6521"/>
      </w:tabs>
      <w:spacing w:before="0" w:after="0"/>
    </w:pPr>
  </w:style>
  <w:style w:type="paragraph" w:customStyle="1" w:styleId="TOFTitle">
    <w:name w:val="TOFTitle"/>
    <w:basedOn w:val="TOCTitle"/>
    <w:rsid w:val="00773B0D"/>
  </w:style>
  <w:style w:type="paragraph" w:styleId="TableofFigures">
    <w:name w:val="table of figures"/>
    <w:basedOn w:val="Normal"/>
    <w:next w:val="Normal"/>
    <w:semiHidden/>
    <w:rsid w:val="00773B0D"/>
    <w:pPr>
      <w:tabs>
        <w:tab w:val="right" w:leader="dot" w:pos="9072"/>
      </w:tabs>
      <w:ind w:left="970" w:hanging="403"/>
    </w:pPr>
    <w:rPr>
      <w:rFonts w:ascii="Times New Roman" w:hAnsi="Times New Roman"/>
      <w:b/>
    </w:rPr>
  </w:style>
  <w:style w:type="paragraph" w:styleId="ListNumber">
    <w:name w:val="List Number"/>
    <w:basedOn w:val="List"/>
    <w:rsid w:val="00773B0D"/>
    <w:pPr>
      <w:numPr>
        <w:numId w:val="16"/>
      </w:numPr>
      <w:tabs>
        <w:tab w:val="clear" w:pos="340"/>
      </w:tabs>
    </w:pPr>
  </w:style>
  <w:style w:type="character" w:customStyle="1" w:styleId="WingdingSymbols">
    <w:name w:val="Wingding Symbols"/>
    <w:rsid w:val="00773B0D"/>
    <w:rPr>
      <w:rFonts w:ascii="Wingdings" w:hAnsi="Wingdings"/>
    </w:rPr>
  </w:style>
  <w:style w:type="paragraph" w:customStyle="1" w:styleId="TableHeading">
    <w:name w:val="Table Heading"/>
    <w:basedOn w:val="HeadingBase"/>
    <w:rsid w:val="00773B0D"/>
    <w:pPr>
      <w:keepLines/>
      <w:pBdr>
        <w:bottom w:val="single" w:sz="6" w:space="1" w:color="918585"/>
      </w:pBdr>
      <w:spacing w:before="240"/>
    </w:pPr>
  </w:style>
  <w:style w:type="character" w:customStyle="1" w:styleId="HotSpot">
    <w:name w:val="HotSpot"/>
    <w:rsid w:val="00773B0D"/>
    <w:rPr>
      <w:color w:val="0033CC"/>
      <w:u w:val="none"/>
    </w:rPr>
  </w:style>
  <w:style w:type="paragraph" w:customStyle="1" w:styleId="BodyTextRight">
    <w:name w:val="Body Text Right"/>
    <w:basedOn w:val="BodyText"/>
    <w:rsid w:val="00773B0D"/>
    <w:pPr>
      <w:spacing w:before="0" w:after="0"/>
      <w:jc w:val="right"/>
    </w:pPr>
  </w:style>
  <w:style w:type="paragraph" w:styleId="Index3">
    <w:name w:val="index 3"/>
    <w:basedOn w:val="ListNumber2"/>
    <w:next w:val="Normal"/>
    <w:semiHidden/>
    <w:rsid w:val="00773B0D"/>
    <w:pPr>
      <w:numPr>
        <w:numId w:val="0"/>
      </w:numPr>
      <w:tabs>
        <w:tab w:val="right" w:leader="dot" w:pos="4176"/>
      </w:tabs>
    </w:pPr>
  </w:style>
  <w:style w:type="paragraph" w:styleId="ListNumber2">
    <w:name w:val="List Number 2"/>
    <w:basedOn w:val="List2"/>
    <w:rsid w:val="00773B0D"/>
    <w:pPr>
      <w:numPr>
        <w:numId w:val="11"/>
      </w:numPr>
      <w:tabs>
        <w:tab w:val="clear" w:pos="1060"/>
      </w:tabs>
    </w:pPr>
  </w:style>
  <w:style w:type="paragraph" w:customStyle="1" w:styleId="MarginNote">
    <w:name w:val="Margin Note"/>
    <w:basedOn w:val="BodyText"/>
    <w:rsid w:val="00773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B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B0D"/>
    <w:rPr>
      <w:sz w:val="32"/>
    </w:rPr>
  </w:style>
  <w:style w:type="paragraph" w:customStyle="1" w:styleId="HeadingProcedure">
    <w:name w:val="Heading Procedure"/>
    <w:basedOn w:val="HeadingBase"/>
    <w:next w:val="Normal"/>
    <w:rsid w:val="00773B0D"/>
    <w:pPr>
      <w:tabs>
        <w:tab w:val="left" w:pos="0"/>
      </w:tabs>
      <w:spacing w:before="120" w:after="60"/>
    </w:pPr>
    <w:rPr>
      <w:i/>
      <w:color w:val="918585"/>
      <w:sz w:val="22"/>
    </w:rPr>
  </w:style>
  <w:style w:type="paragraph" w:customStyle="1" w:styleId="TableBodyText">
    <w:name w:val="Table Body Text"/>
    <w:basedOn w:val="BodyText"/>
    <w:rsid w:val="00773B0D"/>
    <w:pPr>
      <w:spacing w:before="60" w:after="60"/>
    </w:pPr>
  </w:style>
  <w:style w:type="paragraph" w:styleId="ListContinue">
    <w:name w:val="List Continue"/>
    <w:basedOn w:val="List"/>
    <w:rsid w:val="00773B0D"/>
    <w:pPr>
      <w:ind w:firstLine="0"/>
    </w:pPr>
  </w:style>
  <w:style w:type="paragraph" w:customStyle="1" w:styleId="ListNote">
    <w:name w:val="List Note"/>
    <w:basedOn w:val="List"/>
    <w:rsid w:val="00773B0D"/>
    <w:pPr>
      <w:pBdr>
        <w:top w:val="single" w:sz="6" w:space="2" w:color="918585"/>
        <w:bottom w:val="single" w:sz="6" w:space="2" w:color="918585"/>
      </w:pBdr>
      <w:tabs>
        <w:tab w:val="left" w:pos="1021"/>
      </w:tabs>
      <w:ind w:firstLine="0"/>
    </w:pPr>
  </w:style>
  <w:style w:type="paragraph" w:customStyle="1" w:styleId="Warning">
    <w:name w:val="Warning"/>
    <w:basedOn w:val="BodyText"/>
    <w:rsid w:val="00773B0D"/>
    <w:pPr>
      <w:shd w:val="clear" w:color="auto" w:fill="D9D9D9"/>
      <w:tabs>
        <w:tab w:val="left" w:pos="992"/>
      </w:tabs>
      <w:ind w:left="119" w:right="119"/>
    </w:pPr>
    <w:rPr>
      <w:sz w:val="20"/>
    </w:rPr>
  </w:style>
  <w:style w:type="paragraph" w:customStyle="1" w:styleId="MarginIcons">
    <w:name w:val="Margin Icons"/>
    <w:basedOn w:val="BodyText"/>
    <w:rsid w:val="00773B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B0D"/>
    <w:rPr>
      <w:rFonts w:ascii="Courier New" w:hAnsi="Courier New"/>
    </w:rPr>
  </w:style>
  <w:style w:type="paragraph" w:customStyle="1" w:styleId="NoteBullet">
    <w:name w:val="Note Bullet"/>
    <w:basedOn w:val="Note"/>
    <w:rsid w:val="00773B0D"/>
    <w:pPr>
      <w:tabs>
        <w:tab w:val="clear" w:pos="680"/>
      </w:tabs>
      <w:spacing w:before="60" w:after="60"/>
    </w:pPr>
  </w:style>
  <w:style w:type="paragraph" w:customStyle="1" w:styleId="SubHeading2">
    <w:name w:val="SubHeading2"/>
    <w:basedOn w:val="HeadingBase"/>
    <w:rsid w:val="00773B0D"/>
    <w:pPr>
      <w:spacing w:before="240" w:after="60"/>
    </w:pPr>
    <w:rPr>
      <w:sz w:val="20"/>
    </w:rPr>
  </w:style>
  <w:style w:type="paragraph" w:customStyle="1" w:styleId="SideHeading">
    <w:name w:val="Side Heading"/>
    <w:basedOn w:val="HeadingBase"/>
    <w:rsid w:val="00773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B0D"/>
    <w:pPr>
      <w:numPr>
        <w:numId w:val="12"/>
      </w:numPr>
    </w:pPr>
  </w:style>
  <w:style w:type="paragraph" w:styleId="PlainText">
    <w:name w:val="Plain Text"/>
    <w:basedOn w:val="Normal"/>
    <w:link w:val="PlainTextChar"/>
    <w:rsid w:val="00773B0D"/>
    <w:rPr>
      <w:sz w:val="20"/>
    </w:rPr>
  </w:style>
  <w:style w:type="character" w:customStyle="1" w:styleId="PlainTextChar">
    <w:name w:val="Plain Text Char"/>
    <w:basedOn w:val="DefaultParagraphFont"/>
    <w:link w:val="PlainText"/>
    <w:rsid w:val="00773B0D"/>
    <w:rPr>
      <w:rFonts w:ascii="Courier New" w:eastAsia="Times New Roman" w:hAnsi="Courier New" w:cs="Times New Roman"/>
      <w:sz w:val="20"/>
      <w:szCs w:val="20"/>
      <w:lang w:eastAsia="en-US"/>
    </w:rPr>
  </w:style>
  <w:style w:type="character" w:customStyle="1" w:styleId="MenuOption">
    <w:name w:val="Menu Option"/>
    <w:basedOn w:val="DefaultParagraphFont"/>
    <w:rsid w:val="00773B0D"/>
    <w:rPr>
      <w:b/>
      <w:smallCaps/>
    </w:rPr>
  </w:style>
  <w:style w:type="paragraph" w:customStyle="1" w:styleId="TableListNumber">
    <w:name w:val="Table List Number"/>
    <w:basedOn w:val="ListNumber"/>
    <w:rsid w:val="00773B0D"/>
    <w:pPr>
      <w:numPr>
        <w:numId w:val="0"/>
      </w:numPr>
    </w:pPr>
  </w:style>
  <w:style w:type="paragraph" w:styleId="TOC4">
    <w:name w:val="toc 4"/>
    <w:basedOn w:val="TOCBase"/>
    <w:next w:val="Normal"/>
    <w:semiHidden/>
    <w:rsid w:val="00773B0D"/>
    <w:pPr>
      <w:tabs>
        <w:tab w:val="right" w:leader="dot" w:pos="9071"/>
      </w:tabs>
      <w:ind w:left="1701"/>
    </w:pPr>
  </w:style>
  <w:style w:type="paragraph" w:customStyle="1" w:styleId="ListAlpha">
    <w:name w:val="List Alpha"/>
    <w:basedOn w:val="List"/>
    <w:rsid w:val="00773B0D"/>
    <w:pPr>
      <w:numPr>
        <w:numId w:val="10"/>
      </w:numPr>
    </w:pPr>
  </w:style>
  <w:style w:type="paragraph" w:customStyle="1" w:styleId="ListAlpha2">
    <w:name w:val="List Alpha 2"/>
    <w:basedOn w:val="List2"/>
    <w:rsid w:val="00773B0D"/>
    <w:pPr>
      <w:numPr>
        <w:numId w:val="9"/>
      </w:numPr>
    </w:pPr>
  </w:style>
  <w:style w:type="paragraph" w:styleId="List2">
    <w:name w:val="List 2"/>
    <w:basedOn w:val="BodyText"/>
    <w:rsid w:val="00773B0D"/>
    <w:pPr>
      <w:tabs>
        <w:tab w:val="left" w:pos="680"/>
      </w:tabs>
      <w:spacing w:before="60" w:after="60"/>
      <w:ind w:left="680" w:hanging="340"/>
    </w:pPr>
  </w:style>
  <w:style w:type="paragraph" w:styleId="List3">
    <w:name w:val="List 3"/>
    <w:basedOn w:val="BodyText"/>
    <w:rsid w:val="00773B0D"/>
    <w:pPr>
      <w:tabs>
        <w:tab w:val="left" w:pos="1021"/>
      </w:tabs>
      <w:spacing w:before="60" w:after="60"/>
      <w:ind w:left="1020" w:hanging="340"/>
    </w:pPr>
  </w:style>
  <w:style w:type="paragraph" w:styleId="List4">
    <w:name w:val="List 4"/>
    <w:basedOn w:val="BodyText"/>
    <w:rsid w:val="00773B0D"/>
    <w:pPr>
      <w:tabs>
        <w:tab w:val="left" w:pos="1361"/>
      </w:tabs>
      <w:spacing w:before="60" w:after="60"/>
      <w:ind w:left="1361" w:hanging="340"/>
    </w:pPr>
  </w:style>
  <w:style w:type="paragraph" w:styleId="List5">
    <w:name w:val="List 5"/>
    <w:basedOn w:val="BodyText"/>
    <w:rsid w:val="00773B0D"/>
    <w:pPr>
      <w:tabs>
        <w:tab w:val="left" w:pos="1701"/>
      </w:tabs>
      <w:spacing w:before="60" w:after="60"/>
      <w:ind w:left="1701" w:hanging="340"/>
    </w:pPr>
  </w:style>
  <w:style w:type="paragraph" w:styleId="ListBullet4">
    <w:name w:val="List Bullet 4"/>
    <w:basedOn w:val="List4"/>
    <w:rsid w:val="00773B0D"/>
    <w:pPr>
      <w:numPr>
        <w:numId w:val="4"/>
      </w:numPr>
      <w:tabs>
        <w:tab w:val="clear" w:pos="1361"/>
      </w:tabs>
    </w:pPr>
  </w:style>
  <w:style w:type="paragraph" w:styleId="ListBullet5">
    <w:name w:val="List Bullet 5"/>
    <w:basedOn w:val="List5"/>
    <w:rsid w:val="00773B0D"/>
    <w:pPr>
      <w:numPr>
        <w:numId w:val="5"/>
      </w:numPr>
    </w:pPr>
  </w:style>
  <w:style w:type="paragraph" w:styleId="ListContinue2">
    <w:name w:val="List Continue 2"/>
    <w:basedOn w:val="List2"/>
    <w:rsid w:val="00773B0D"/>
    <w:pPr>
      <w:ind w:firstLine="0"/>
    </w:pPr>
  </w:style>
  <w:style w:type="paragraph" w:styleId="ListContinue3">
    <w:name w:val="List Continue 3"/>
    <w:basedOn w:val="List3"/>
    <w:rsid w:val="00773B0D"/>
    <w:pPr>
      <w:ind w:left="1021" w:firstLine="0"/>
    </w:pPr>
  </w:style>
  <w:style w:type="paragraph" w:styleId="ListContinue4">
    <w:name w:val="List Continue 4"/>
    <w:basedOn w:val="List4"/>
    <w:rsid w:val="00773B0D"/>
    <w:pPr>
      <w:ind w:firstLine="0"/>
    </w:pPr>
  </w:style>
  <w:style w:type="paragraph" w:styleId="ListContinue5">
    <w:name w:val="List Continue 5"/>
    <w:basedOn w:val="List5"/>
    <w:rsid w:val="00773B0D"/>
    <w:pPr>
      <w:ind w:firstLine="0"/>
    </w:pPr>
  </w:style>
  <w:style w:type="paragraph" w:styleId="ListNumber3">
    <w:name w:val="List Number 3"/>
    <w:basedOn w:val="List3"/>
    <w:rsid w:val="00773B0D"/>
    <w:pPr>
      <w:numPr>
        <w:numId w:val="6"/>
      </w:numPr>
    </w:pPr>
  </w:style>
  <w:style w:type="paragraph" w:styleId="ListNumber4">
    <w:name w:val="List Number 4"/>
    <w:basedOn w:val="List4"/>
    <w:rsid w:val="00773B0D"/>
    <w:pPr>
      <w:numPr>
        <w:numId w:val="7"/>
      </w:numPr>
    </w:pPr>
  </w:style>
  <w:style w:type="paragraph" w:styleId="ListNumber5">
    <w:name w:val="List Number 5"/>
    <w:basedOn w:val="List5"/>
    <w:rsid w:val="00773B0D"/>
    <w:pPr>
      <w:numPr>
        <w:numId w:val="8"/>
      </w:numPr>
    </w:pPr>
  </w:style>
  <w:style w:type="paragraph" w:styleId="BlockText">
    <w:name w:val="Block Text"/>
    <w:basedOn w:val="Normal"/>
    <w:rsid w:val="00773B0D"/>
    <w:pPr>
      <w:spacing w:after="120"/>
      <w:ind w:left="1440" w:right="1440"/>
    </w:pPr>
  </w:style>
  <w:style w:type="character" w:customStyle="1" w:styleId="Subscript">
    <w:name w:val="Subscript"/>
    <w:basedOn w:val="DefaultParagraphFont"/>
    <w:rsid w:val="00773B0D"/>
    <w:rPr>
      <w:sz w:val="16"/>
      <w:vertAlign w:val="subscript"/>
    </w:rPr>
  </w:style>
  <w:style w:type="character" w:customStyle="1" w:styleId="Superscript">
    <w:name w:val="Superscript"/>
    <w:basedOn w:val="DefaultParagraphFont"/>
    <w:rsid w:val="00773B0D"/>
    <w:rPr>
      <w:sz w:val="16"/>
      <w:vertAlign w:val="superscript"/>
    </w:rPr>
  </w:style>
  <w:style w:type="character" w:customStyle="1" w:styleId="Symbols">
    <w:name w:val="Symbols"/>
    <w:basedOn w:val="DefaultParagraphFont"/>
    <w:rsid w:val="00773B0D"/>
    <w:rPr>
      <w:rFonts w:ascii="Symbol" w:hAnsi="Symbol"/>
    </w:rPr>
  </w:style>
  <w:style w:type="character" w:customStyle="1" w:styleId="MenuOptions">
    <w:name w:val="Menu Options"/>
    <w:basedOn w:val="DefaultParagraphFont"/>
    <w:rsid w:val="00773B0D"/>
    <w:rPr>
      <w:rFonts w:ascii="Arial Narrow" w:hAnsi="Arial Narrow"/>
      <w:smallCaps/>
    </w:rPr>
  </w:style>
  <w:style w:type="character" w:customStyle="1" w:styleId="Buttons">
    <w:name w:val="Buttons"/>
    <w:basedOn w:val="DefaultParagraphFont"/>
    <w:rsid w:val="00773B0D"/>
    <w:rPr>
      <w:b/>
    </w:rPr>
  </w:style>
  <w:style w:type="character" w:customStyle="1" w:styleId="Underlined">
    <w:name w:val="Underlined"/>
    <w:basedOn w:val="DefaultParagraphFont"/>
    <w:rsid w:val="00773B0D"/>
    <w:rPr>
      <w:u w:val="single"/>
    </w:rPr>
  </w:style>
  <w:style w:type="paragraph" w:customStyle="1" w:styleId="TableBodyTextRight">
    <w:name w:val="Table Body Text Right"/>
    <w:basedOn w:val="TableBodyText"/>
    <w:rsid w:val="00773B0D"/>
    <w:pPr>
      <w:widowControl w:val="0"/>
      <w:autoSpaceDE w:val="0"/>
      <w:autoSpaceDN w:val="0"/>
      <w:adjustRightInd w:val="0"/>
      <w:jc w:val="right"/>
    </w:pPr>
    <w:rPr>
      <w:rFonts w:cs="Arial"/>
      <w:szCs w:val="18"/>
    </w:rPr>
  </w:style>
  <w:style w:type="paragraph" w:customStyle="1" w:styleId="CopyrightText">
    <w:name w:val="Copyright Text"/>
    <w:basedOn w:val="BodyText"/>
    <w:rsid w:val="00773B0D"/>
    <w:rPr>
      <w:sz w:val="18"/>
    </w:rPr>
  </w:style>
  <w:style w:type="paragraph" w:customStyle="1" w:styleId="BodySmallRight">
    <w:name w:val="Body Small Right"/>
    <w:basedOn w:val="BodyTextRight"/>
    <w:rsid w:val="00773B0D"/>
    <w:rPr>
      <w:sz w:val="18"/>
      <w:szCs w:val="18"/>
    </w:rPr>
  </w:style>
  <w:style w:type="paragraph" w:customStyle="1" w:styleId="MarginEdition">
    <w:name w:val="Margin Edition"/>
    <w:basedOn w:val="MarginNote"/>
    <w:rsid w:val="00773B0D"/>
    <w:pPr>
      <w:spacing w:before="0" w:after="0"/>
    </w:pPr>
    <w:rPr>
      <w:rFonts w:ascii="Times New Roman" w:hAnsi="Times New Roman"/>
      <w:color w:val="999999"/>
    </w:rPr>
  </w:style>
  <w:style w:type="paragraph" w:customStyle="1" w:styleId="Spacer">
    <w:name w:val="Spacer"/>
    <w:basedOn w:val="Normal"/>
    <w:rsid w:val="00773B0D"/>
    <w:rPr>
      <w:sz w:val="2"/>
      <w:szCs w:val="2"/>
    </w:rPr>
  </w:style>
  <w:style w:type="character" w:customStyle="1" w:styleId="Small">
    <w:name w:val="Small"/>
    <w:basedOn w:val="DefaultParagraphFont"/>
    <w:rsid w:val="00773B0D"/>
    <w:rPr>
      <w:sz w:val="16"/>
    </w:rPr>
  </w:style>
  <w:style w:type="paragraph" w:customStyle="1" w:styleId="WideTable">
    <w:name w:val="Wide Table"/>
    <w:basedOn w:val="Normal"/>
    <w:rsid w:val="00773B0D"/>
    <w:pPr>
      <w:ind w:left="-1418"/>
    </w:pPr>
    <w:rPr>
      <w:sz w:val="2"/>
      <w:szCs w:val="2"/>
    </w:rPr>
  </w:style>
  <w:style w:type="character" w:styleId="PageNumber">
    <w:name w:val="page number"/>
    <w:basedOn w:val="DefaultParagraphFont"/>
    <w:rsid w:val="00773B0D"/>
  </w:style>
  <w:style w:type="paragraph" w:styleId="Quote">
    <w:name w:val="Quote"/>
    <w:basedOn w:val="Heading1"/>
    <w:link w:val="QuoteChar"/>
    <w:qFormat/>
    <w:rsid w:val="00773B0D"/>
    <w:rPr>
      <w:b w:val="0"/>
      <w:sz w:val="72"/>
      <w:szCs w:val="72"/>
      <w:lang w:val="en-NZ"/>
    </w:rPr>
  </w:style>
  <w:style w:type="character" w:customStyle="1" w:styleId="QuoteChar">
    <w:name w:val="Quote Char"/>
    <w:basedOn w:val="DefaultParagraphFont"/>
    <w:link w:val="Quote"/>
    <w:rsid w:val="00773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B0D"/>
    <w:pPr>
      <w:pageBreakBefore/>
    </w:pPr>
  </w:style>
  <w:style w:type="paragraph" w:customStyle="1" w:styleId="Border">
    <w:name w:val="Border"/>
    <w:basedOn w:val="Normal"/>
    <w:qFormat/>
    <w:rsid w:val="00773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B0D"/>
    <w:rPr>
      <w:b/>
      <w:bCs/>
      <w:i/>
      <w:iCs/>
      <w:color w:val="auto"/>
    </w:rPr>
  </w:style>
  <w:style w:type="paragraph" w:styleId="IntenseQuote">
    <w:name w:val="Intense Quote"/>
    <w:basedOn w:val="Normal"/>
    <w:next w:val="Normal"/>
    <w:link w:val="IntenseQuoteChar"/>
    <w:uiPriority w:val="30"/>
    <w:qFormat/>
    <w:rsid w:val="00773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B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B0D"/>
    <w:rPr>
      <w:smallCaps/>
      <w:color w:val="auto"/>
      <w:u w:val="single"/>
    </w:rPr>
  </w:style>
  <w:style w:type="character" w:styleId="IntenseReference">
    <w:name w:val="Intense Reference"/>
    <w:basedOn w:val="DefaultParagraphFont"/>
    <w:uiPriority w:val="32"/>
    <w:qFormat/>
    <w:rsid w:val="00773B0D"/>
    <w:rPr>
      <w:b/>
      <w:bCs/>
      <w:smallCaps/>
      <w:color w:val="auto"/>
      <w:spacing w:val="5"/>
      <w:u w:val="single"/>
    </w:rPr>
  </w:style>
  <w:style w:type="paragraph" w:customStyle="1" w:styleId="2ColumnHeading">
    <w:name w:val="2Column Heading"/>
    <w:basedOn w:val="BodyText"/>
    <w:qFormat/>
    <w:rsid w:val="00773B0D"/>
    <w:pPr>
      <w:spacing w:after="60"/>
      <w:ind w:left="-2268"/>
    </w:pPr>
    <w:rPr>
      <w:b/>
    </w:rPr>
  </w:style>
  <w:style w:type="paragraph" w:customStyle="1" w:styleId="Heading1TOC">
    <w:name w:val="Heading1 TOC"/>
    <w:basedOn w:val="Normal"/>
    <w:qFormat/>
    <w:rsid w:val="00773B0D"/>
    <w:pPr>
      <w:spacing w:before="240" w:after="120"/>
    </w:pPr>
    <w:rPr>
      <w:rFonts w:ascii="Times New Roman" w:hAnsi="Times New Roman"/>
      <w:b/>
      <w:sz w:val="32"/>
    </w:rPr>
  </w:style>
  <w:style w:type="paragraph" w:customStyle="1" w:styleId="Heading2TOC">
    <w:name w:val="Heading2 TOC"/>
    <w:basedOn w:val="Normal"/>
    <w:qFormat/>
    <w:rsid w:val="00773B0D"/>
    <w:pPr>
      <w:spacing w:before="240" w:after="60"/>
    </w:pPr>
    <w:rPr>
      <w:rFonts w:ascii="Times New Roman" w:hAnsi="Times New Roman"/>
      <w:b/>
      <w:sz w:val="28"/>
    </w:rPr>
  </w:style>
  <w:style w:type="character" w:customStyle="1" w:styleId="Underline">
    <w:name w:val="Underline"/>
    <w:basedOn w:val="DefaultParagraphFont"/>
    <w:qFormat/>
    <w:rsid w:val="00773B0D"/>
    <w:rPr>
      <w:u w:val="single"/>
    </w:rPr>
  </w:style>
  <w:style w:type="character" w:customStyle="1" w:styleId="BoldandItalics">
    <w:name w:val="Bold and Italics"/>
    <w:qFormat/>
    <w:rsid w:val="00773B0D"/>
    <w:rPr>
      <w:b/>
      <w:i/>
      <w:u w:val="none"/>
    </w:rPr>
  </w:style>
  <w:style w:type="paragraph" w:styleId="BalloonText">
    <w:name w:val="Balloon Text"/>
    <w:basedOn w:val="Normal"/>
    <w:link w:val="BalloonTextChar"/>
    <w:rsid w:val="00773B0D"/>
    <w:rPr>
      <w:rFonts w:ascii="Tahoma" w:hAnsi="Tahoma" w:cs="Tahoma"/>
      <w:sz w:val="16"/>
      <w:szCs w:val="16"/>
    </w:rPr>
  </w:style>
  <w:style w:type="character" w:customStyle="1" w:styleId="BalloonTextChar">
    <w:name w:val="Balloon Text Char"/>
    <w:basedOn w:val="DefaultParagraphFont"/>
    <w:link w:val="BalloonText"/>
    <w:rsid w:val="00773B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B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B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B0D"/>
    <w:rPr>
      <w:b/>
      <w:color w:val="660033"/>
      <w:spacing w:val="0"/>
    </w:rPr>
  </w:style>
  <w:style w:type="paragraph" w:customStyle="1" w:styleId="Nameditemlist">
    <w:name w:val="Named item list"/>
    <w:basedOn w:val="BodyText"/>
    <w:qFormat/>
    <w:rsid w:val="00773B0D"/>
    <w:pPr>
      <w:tabs>
        <w:tab w:val="left" w:pos="2835"/>
      </w:tabs>
      <w:ind w:left="2835" w:hanging="2835"/>
    </w:pPr>
  </w:style>
  <w:style w:type="paragraph" w:customStyle="1" w:styleId="BodyTextnopadding">
    <w:name w:val="Body Text no padding"/>
    <w:basedOn w:val="BodyText"/>
    <w:qFormat/>
    <w:rsid w:val="00773B0D"/>
    <w:pPr>
      <w:spacing w:before="0" w:after="0"/>
    </w:pPr>
  </w:style>
  <w:style w:type="paragraph" w:customStyle="1" w:styleId="BodyTextBold">
    <w:name w:val="Body Text Bold"/>
    <w:basedOn w:val="BodyText"/>
    <w:qFormat/>
    <w:rsid w:val="00773B0D"/>
    <w:rPr>
      <w:b/>
    </w:rPr>
  </w:style>
  <w:style w:type="character" w:styleId="Hyperlink">
    <w:name w:val="Hyperlink"/>
    <w:basedOn w:val="DefaultParagraphFont"/>
    <w:uiPriority w:val="99"/>
    <w:unhideWhenUsed/>
    <w:rsid w:val="003B2A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5814</Characters>
  <Application>Microsoft Office Word</Application>
  <DocSecurity>0</DocSecurity>
  <Lines>157</Lines>
  <Paragraphs>108</Paragraphs>
  <ScaleCrop>false</ScaleCrop>
  <Company>Author-it Software Corporation Ltd.</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RIIOGD405D Carry out well control and blow out prevention</dc:title>
  <dc:subject>Approved</dc:subject>
  <dc:creator>PwC’s Skills for Australia</dc:creator>
  <cp:keywords>Release: 3</cp:keywords>
  <dc:description>Review Date: 12 April 2008</dc:description>
  <cp:lastModifiedBy>HSD_TPCMSd.prod</cp:lastModifiedBy>
  <cp:revision>3</cp:revision>
  <dcterms:created xsi:type="dcterms:W3CDTF">2021-01-25T10:18:00Z</dcterms:created>
  <dcterms:modified xsi:type="dcterms:W3CDTF">2021-01-25T10:18:00Z</dcterms:modified>
</cp:coreProperties>
</file>