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1B6" w:rsidP="00CD51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RIIOGD401D Rig up, conduct pre-spud operations and rig down</w:t>
      </w:r>
      <w:r>
        <w:fldChar w:fldCharType="end"/>
      </w:r>
    </w:p>
    <w:p w:rsidR="00CD51B6" w:rsidP="00CD51B6">
      <w:pPr>
        <w:pStyle w:val="Version"/>
        <w:sectPr w:rsidSect="00C363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36328" w:rsidP="00C36328">
      <w:pPr>
        <w:pStyle w:val="SuperHeading"/>
      </w:pPr>
      <w:r w:rsidRPr="00C36328">
        <w:t>RIIOGD401D Rig up, conduct pre-spud operations and rig down</w:t>
      </w:r>
    </w:p>
    <w:p w:rsidR="00000000" w:rsidRPr="00C36328" w:rsidP="00C36328">
      <w:pPr>
        <w:pStyle w:val="Heading1"/>
      </w:pPr>
      <w:bookmarkStart w:id="1" w:name="O_691045"/>
      <w:bookmarkEnd w:id="1"/>
      <w:r w:rsidRPr="00C3632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D51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328">
            <w:pPr>
              <w:pStyle w:val="Heading4"/>
              <w:rPr>
                <w:lang w:val="en-NZ"/>
              </w:rPr>
            </w:pPr>
            <w:r w:rsidRPr="00C3632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328">
            <w:pPr>
              <w:pStyle w:val="Heading4"/>
              <w:rPr>
                <w:lang w:val="en-NZ"/>
              </w:rPr>
            </w:pPr>
            <w:r w:rsidRPr="00C36328">
              <w:t>Comment</w:t>
            </w:r>
          </w:p>
        </w:tc>
      </w:tr>
      <w:tr w:rsidTr="00CD51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328">
            <w:pPr>
              <w:pStyle w:val="BodyText"/>
              <w:rPr>
                <w:lang w:val="en-NZ"/>
              </w:rPr>
            </w:pPr>
            <w:r w:rsidRPr="00C3632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328">
            <w:pPr>
              <w:pStyle w:val="BodyText"/>
              <w:rPr>
                <w:lang w:val="en-NZ"/>
              </w:rPr>
            </w:pPr>
            <w:r w:rsidRPr="00C36328">
              <w:t>This unit replaces RIIOGD401A Rig up, conduct pre-spud operations and rig down</w:t>
            </w:r>
          </w:p>
        </w:tc>
      </w:tr>
      <w:tr w:rsidTr="00CD51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328">
            <w:pPr>
              <w:pStyle w:val="BodyText"/>
              <w:rPr>
                <w:lang w:val="en-NZ"/>
              </w:rPr>
            </w:pPr>
            <w:r w:rsidRPr="00C3632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328">
            <w:pPr>
              <w:pStyle w:val="BodyText"/>
              <w:rPr>
                <w:lang w:val="en-NZ"/>
              </w:rPr>
            </w:pPr>
            <w:r w:rsidRPr="00C36328">
              <w:t>Performance Criteria amended to make requirements more explicit.</w:t>
            </w:r>
          </w:p>
        </w:tc>
      </w:tr>
      <w:tr w:rsidTr="00CD51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328">
            <w:pPr>
              <w:pStyle w:val="BodyText"/>
              <w:rPr>
                <w:lang w:val="en-NZ"/>
              </w:rPr>
            </w:pPr>
            <w:r w:rsidRPr="00C36328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328" w:rsidP="00C36328">
            <w:pPr>
              <w:pStyle w:val="BodyText"/>
            </w:pPr>
            <w:r w:rsidRPr="00C36328">
              <w:t xml:space="preserve">Required frequency and volume of evidence amended </w:t>
            </w:r>
            <w:r w:rsidRPr="00C36328">
              <w:t>in Performance evidence.</w:t>
            </w:r>
          </w:p>
          <w:p w:rsidR="00000000" w:rsidRPr="00C36328" w:rsidP="00C36328">
            <w:pPr>
              <w:pStyle w:val="BodyText"/>
            </w:pPr>
            <w:r w:rsidRPr="00C36328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36328" w:rsidP="00C36328">
      <w:pPr>
        <w:pStyle w:val="BodyText"/>
      </w:pPr>
    </w:p>
    <w:p w:rsidR="00000000" w:rsidRPr="00C36328" w:rsidP="00C36328">
      <w:pPr>
        <w:pStyle w:val="AllowPageBreak"/>
      </w:pPr>
    </w:p>
    <w:p w:rsidR="00000000" w:rsidRPr="00C36328" w:rsidP="00C36328">
      <w:pPr>
        <w:pStyle w:val="Heading1"/>
      </w:pPr>
      <w:bookmarkStart w:id="2" w:name="O_691044"/>
      <w:bookmarkEnd w:id="2"/>
      <w:r w:rsidRPr="00C36328">
        <w:t>Application</w:t>
      </w:r>
    </w:p>
    <w:p w:rsidR="00000000" w:rsidRPr="00C36328" w:rsidP="00CD51B6">
      <w:pPr>
        <w:pStyle w:val="BodyText"/>
      </w:pPr>
      <w:r w:rsidRPr="00C36328">
        <w:t>This unit describes a participant’s skills and knowledge required to apply rig up, conduct pre-spud operations and rig down in Drilling.</w:t>
      </w:r>
    </w:p>
    <w:p w:rsidR="00000000" w:rsidRPr="00C36328" w:rsidP="00CD51B6">
      <w:pPr>
        <w:pStyle w:val="BodyText"/>
      </w:pPr>
      <w:r w:rsidRPr="00C36328">
        <w:t>This unit is appropriate for those working in supervisory roles.</w:t>
      </w:r>
    </w:p>
    <w:p w:rsidR="00CD51B6" w:rsidP="00CD51B6">
      <w:pPr>
        <w:pStyle w:val="BodyText"/>
      </w:pPr>
      <w:r w:rsidRPr="00C36328">
        <w:t>Licensing, legislative, re</w:t>
      </w:r>
      <w:r w:rsidRPr="00C36328">
        <w:t>gulatory and certification requirements that apply to this unit can vary between states, territories, and industry sectors. Relevant information must be sourced prior to application of the unit.</w:t>
      </w:r>
    </w:p>
    <w:p w:rsidR="00000000" w:rsidRPr="00C36328" w:rsidP="00C36328">
      <w:pPr>
        <w:pStyle w:val="Heading1"/>
      </w:pPr>
      <w:bookmarkStart w:id="3" w:name="O_691043"/>
      <w:bookmarkEnd w:id="3"/>
      <w:r w:rsidRPr="00C36328">
        <w:t>Unit Sector</w:t>
      </w:r>
    </w:p>
    <w:p w:rsidR="00000000" w:rsidRPr="00C36328" w:rsidP="00CD51B6">
      <w:pPr>
        <w:pStyle w:val="BodyText"/>
      </w:pPr>
      <w:r w:rsidRPr="00C36328">
        <w:t>Drilling</w:t>
      </w:r>
    </w:p>
    <w:p w:rsidR="00000000" w:rsidRPr="00C36328" w:rsidP="00C36328">
      <w:pPr>
        <w:pStyle w:val="Heading1"/>
      </w:pPr>
      <w:bookmarkStart w:id="4" w:name="O_691042"/>
      <w:bookmarkEnd w:id="4"/>
      <w:r w:rsidRPr="00C36328">
        <w:t>Eleme</w:t>
      </w:r>
      <w:r w:rsidRPr="00C36328">
        <w:t>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363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328">
            <w:pPr>
              <w:pStyle w:val="BodyText"/>
              <w:rPr>
                <w:lang w:val="en-NZ"/>
              </w:rPr>
            </w:pPr>
            <w:r w:rsidRPr="00C36328">
              <w:t xml:space="preserve">1.  Plan and prepare rig up, conduct pre-spud operations and rig down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328" w:rsidP="00C36328">
            <w:pPr>
              <w:pStyle w:val="BodyText"/>
            </w:pPr>
            <w:r w:rsidRPr="00C36328">
              <w:t>1.1</w:t>
            </w:r>
            <w:r w:rsidRPr="00C36328">
              <w:tab/>
              <w:t xml:space="preserve">Access, interpret and apply rig up, conduct pre-spud operations and rig down documentation and ensure the work activity is compliant </w:t>
            </w:r>
          </w:p>
          <w:p w:rsidR="00000000" w:rsidRPr="00C36328" w:rsidP="00C36328">
            <w:pPr>
              <w:pStyle w:val="BodyText"/>
            </w:pPr>
            <w:r w:rsidRPr="00C36328">
              <w:t>1.2</w:t>
            </w:r>
            <w:r w:rsidRPr="00C36328">
              <w:tab/>
              <w:t xml:space="preserve">Obtain, read, </w:t>
            </w:r>
            <w:r w:rsidRPr="00C36328">
              <w:t xml:space="preserve">interpret, clarify and confirm work requirements </w:t>
            </w:r>
          </w:p>
          <w:p w:rsidR="00000000" w:rsidRPr="00C36328" w:rsidP="00C36328">
            <w:pPr>
              <w:pStyle w:val="BodyText"/>
            </w:pPr>
            <w:r w:rsidRPr="00C36328">
              <w:t>1.3</w:t>
            </w:r>
            <w:r w:rsidRPr="00C36328">
              <w:tab/>
              <w:t>Identify, address and report potential hazards, risks and environmental issues and implement control measures</w:t>
            </w:r>
          </w:p>
          <w:p w:rsidR="00000000" w:rsidRPr="00C36328" w:rsidP="00C36328">
            <w:pPr>
              <w:pStyle w:val="BodyText"/>
            </w:pPr>
            <w:r w:rsidRPr="00C36328">
              <w:t xml:space="preserve">1.4 Select and wear personal protective equipment appropriate to </w:t>
            </w:r>
            <w:r w:rsidRPr="00C36328">
              <w:tab/>
              <w:t>the work activities</w:t>
            </w:r>
          </w:p>
          <w:p w:rsidR="00000000" w:rsidRPr="00C36328" w:rsidP="00C36328">
            <w:pPr>
              <w:pStyle w:val="BodyText"/>
            </w:pPr>
            <w:r w:rsidRPr="00C36328">
              <w:t>1.5 Re</w:t>
            </w:r>
            <w:r w:rsidRPr="00C36328">
              <w:t xml:space="preserve">solve coordination requirements with others at the site prior </w:t>
            </w:r>
            <w:r w:rsidRPr="00C36328">
              <w:tab/>
              <w:t xml:space="preserve">to </w:t>
            </w:r>
            <w:r w:rsidRPr="00C36328">
              <w:t xml:space="preserve">commencing,  during, and on completion of work </w:t>
            </w:r>
            <w:r w:rsidRPr="00C36328">
              <w:tab/>
              <w:t>activities</w:t>
            </w:r>
          </w:p>
          <w:p w:rsidR="00000000" w:rsidRPr="00C36328" w:rsidP="00C36328">
            <w:pPr>
              <w:pStyle w:val="BodyText"/>
            </w:pPr>
            <w:r w:rsidRPr="00C36328">
              <w:t xml:space="preserve">1.6 Carry out pre rig-up procedure inspections (by rig manager, operator and crew) </w:t>
            </w:r>
          </w:p>
          <w:p w:rsidR="00000000" w:rsidRPr="00C36328" w:rsidP="00C36328">
            <w:pPr>
              <w:pStyle w:val="BodyText"/>
            </w:pPr>
            <w:r w:rsidRPr="00C36328">
              <w:t>1.7 Coordinate movement of load and sequence of</w:t>
            </w:r>
            <w:r w:rsidRPr="00C36328">
              <w:t xml:space="preserve"> installation and location </w:t>
            </w:r>
          </w:p>
          <w:p w:rsidR="00000000" w:rsidP="00C36328">
            <w:pPr>
              <w:pStyle w:val="BodyText"/>
              <w:rPr>
                <w:lang w:val="en-NZ"/>
              </w:rPr>
            </w:pPr>
            <w:r w:rsidRPr="00C36328">
              <w:t xml:space="preserve">1.8 Check equipment for damage and/or loss by moving contractor and report and BI </w:t>
            </w:r>
          </w:p>
        </w:tc>
      </w:tr>
      <w:tr w:rsidTr="00C363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328">
            <w:pPr>
              <w:pStyle w:val="BodyText"/>
              <w:rPr>
                <w:lang w:val="en-NZ"/>
              </w:rPr>
            </w:pPr>
            <w:r w:rsidRPr="00C36328">
              <w:t>2.  Rig up to spud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328" w:rsidP="00C36328">
            <w:pPr>
              <w:pStyle w:val="BodyText"/>
            </w:pPr>
            <w:r w:rsidRPr="00C36328">
              <w:t>2.1</w:t>
            </w:r>
            <w:r w:rsidRPr="00C36328">
              <w:tab/>
              <w:t>Receive and action rig manager authorisation to commence rig-up to spud operations</w:t>
            </w:r>
          </w:p>
          <w:p w:rsidR="00000000" w:rsidRPr="00C36328" w:rsidP="00C36328">
            <w:pPr>
              <w:pStyle w:val="BodyText"/>
            </w:pPr>
            <w:r w:rsidRPr="00C36328">
              <w:t>2.2</w:t>
            </w:r>
            <w:r w:rsidRPr="00C36328">
              <w:tab/>
            </w:r>
            <w:r w:rsidRPr="00C36328">
              <w:t xml:space="preserve">Receive detailed verbal and written instructions on use and type of mud from the operator and distribute </w:t>
            </w:r>
          </w:p>
          <w:p w:rsidR="00000000" w:rsidRPr="00C36328" w:rsidP="00C36328">
            <w:pPr>
              <w:pStyle w:val="BodyText"/>
            </w:pPr>
            <w:r w:rsidRPr="00C36328">
              <w:t>2.3</w:t>
            </w:r>
            <w:r w:rsidRPr="00C36328">
              <w:tab/>
              <w:t>Identify potential rig-up problems and take corrective action</w:t>
            </w:r>
          </w:p>
          <w:p w:rsidR="00000000" w:rsidP="00C36328">
            <w:pPr>
              <w:pStyle w:val="BodyText"/>
              <w:rPr>
                <w:lang w:val="en-NZ"/>
              </w:rPr>
            </w:pPr>
            <w:r w:rsidRPr="00C36328">
              <w:t>2.4</w:t>
            </w:r>
            <w:r w:rsidRPr="00C36328">
              <w:tab/>
              <w:t xml:space="preserve">Keep rig manager informed of operations </w:t>
            </w:r>
          </w:p>
        </w:tc>
      </w:tr>
      <w:tr w:rsidTr="00C363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328">
            <w:pPr>
              <w:pStyle w:val="BodyText"/>
              <w:rPr>
                <w:lang w:val="en-NZ"/>
              </w:rPr>
            </w:pPr>
            <w:r w:rsidRPr="00C36328">
              <w:t xml:space="preserve">3.  Prepare for drilling of surface </w:t>
            </w:r>
            <w:r w:rsidRPr="00C36328">
              <w:tab/>
              <w:t>h</w:t>
            </w:r>
            <w:r w:rsidRPr="00C36328">
              <w:t>ole/subsea hole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328" w:rsidP="00C36328">
            <w:pPr>
              <w:pStyle w:val="BodyText"/>
            </w:pPr>
            <w:r w:rsidRPr="00C36328">
              <w:t>3.1</w:t>
            </w:r>
            <w:r w:rsidRPr="00C36328">
              <w:tab/>
              <w:t xml:space="preserve">Check drilling and hoist equipment, report damage to rig manager and record </w:t>
            </w:r>
          </w:p>
          <w:p w:rsidR="00000000" w:rsidRPr="00C36328" w:rsidP="00C36328">
            <w:pPr>
              <w:pStyle w:val="BodyText"/>
            </w:pPr>
            <w:r w:rsidRPr="00C36328">
              <w:t>3.2</w:t>
            </w:r>
            <w:r w:rsidRPr="00C36328">
              <w:tab/>
              <w:t>Conduct equipment checks for nippling-up or cross-checked with relevant procedures</w:t>
            </w:r>
          </w:p>
          <w:p w:rsidR="00000000" w:rsidRPr="00C36328" w:rsidP="00C36328">
            <w:pPr>
              <w:pStyle w:val="BodyText"/>
            </w:pPr>
            <w:r w:rsidRPr="00C36328">
              <w:t>3.3</w:t>
            </w:r>
            <w:r w:rsidRPr="00C36328">
              <w:tab/>
              <w:t>Check handling equipment for correct sizing and if fit for purpose</w:t>
            </w:r>
          </w:p>
          <w:p w:rsidR="00000000" w:rsidRPr="00C36328" w:rsidP="00C36328">
            <w:pPr>
              <w:pStyle w:val="BodyText"/>
            </w:pPr>
            <w:r w:rsidRPr="00C36328">
              <w:t>3</w:t>
            </w:r>
            <w:r w:rsidRPr="00C36328">
              <w:t>.4</w:t>
            </w:r>
            <w:r w:rsidRPr="00C36328">
              <w:tab/>
              <w:t xml:space="preserve">Confirm availability of and inspect, clean, calibrate and record tubulars </w:t>
            </w:r>
          </w:p>
          <w:p w:rsidR="00000000" w:rsidRPr="00C36328" w:rsidP="00C36328">
            <w:pPr>
              <w:pStyle w:val="BodyText"/>
            </w:pPr>
            <w:r w:rsidRPr="00C36328">
              <w:t>3.5</w:t>
            </w:r>
            <w:r w:rsidRPr="00C36328">
              <w:tab/>
              <w:t xml:space="preserve">Check well control equipment </w:t>
            </w:r>
          </w:p>
          <w:p w:rsidR="00000000" w:rsidP="00C36328">
            <w:pPr>
              <w:pStyle w:val="BodyText"/>
              <w:rPr>
                <w:lang w:val="en-NZ"/>
              </w:rPr>
            </w:pPr>
            <w:r w:rsidRPr="00C36328">
              <w:t>3.6</w:t>
            </w:r>
            <w:r w:rsidRPr="00C36328">
              <w:tab/>
              <w:t>Identify special tool requirements and check if fit for purpose and approved for use</w:t>
            </w:r>
          </w:p>
        </w:tc>
      </w:tr>
      <w:tr w:rsidTr="00C363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328">
            <w:pPr>
              <w:pStyle w:val="BodyText"/>
              <w:rPr>
                <w:lang w:val="en-NZ"/>
              </w:rPr>
            </w:pPr>
            <w:r w:rsidRPr="00C36328">
              <w:t>4.  Prepare for pre-spud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328" w:rsidP="00C36328">
            <w:pPr>
              <w:pStyle w:val="BodyText"/>
            </w:pPr>
            <w:r w:rsidRPr="00C36328">
              <w:t>4.1</w:t>
            </w:r>
            <w:r w:rsidRPr="00C36328">
              <w:tab/>
              <w:t>Lock pipe rack</w:t>
            </w:r>
            <w:r w:rsidRPr="00C36328">
              <w:t xml:space="preserve">s with drill pipe and position drill collars </w:t>
            </w:r>
          </w:p>
          <w:p w:rsidR="00000000" w:rsidRPr="00C36328" w:rsidP="00C36328">
            <w:pPr>
              <w:pStyle w:val="BodyText"/>
            </w:pPr>
            <w:r w:rsidRPr="00C36328">
              <w:t>4.2</w:t>
            </w:r>
            <w:r w:rsidRPr="00C36328">
              <w:tab/>
              <w:t xml:space="preserve">Inspect casing running tools for safety and fitness-for-purpose and rectify and/or report faults and malfunctions </w:t>
            </w:r>
          </w:p>
          <w:p w:rsidR="00000000" w:rsidP="00C36328">
            <w:pPr>
              <w:pStyle w:val="BodyText"/>
              <w:rPr>
                <w:lang w:val="en-NZ"/>
              </w:rPr>
            </w:pPr>
            <w:r w:rsidRPr="00C36328">
              <w:t>4.3</w:t>
            </w:r>
            <w:r w:rsidRPr="00C36328">
              <w:tab/>
              <w:t xml:space="preserve">Record casing tallies and report </w:t>
            </w:r>
          </w:p>
        </w:tc>
      </w:tr>
      <w:tr w:rsidTr="00C363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328">
            <w:pPr>
              <w:pStyle w:val="BodyText"/>
              <w:rPr>
                <w:lang w:val="en-NZ"/>
              </w:rPr>
            </w:pPr>
            <w:r w:rsidRPr="00C36328">
              <w:t>5.  Conduct operations as per drilling program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328" w:rsidP="00C36328">
            <w:pPr>
              <w:pStyle w:val="BodyText"/>
            </w:pPr>
            <w:r w:rsidRPr="00C36328">
              <w:t>5.1</w:t>
            </w:r>
            <w:r w:rsidRPr="00C36328">
              <w:tab/>
              <w:t>D</w:t>
            </w:r>
            <w:r w:rsidRPr="00C36328">
              <w:t>etermine optimum circulating and penetration rates and check deviations are in accordance with operators drilling program</w:t>
            </w:r>
          </w:p>
          <w:p w:rsidR="00000000" w:rsidRPr="00C36328" w:rsidP="00C36328">
            <w:pPr>
              <w:pStyle w:val="BodyText"/>
            </w:pPr>
            <w:r w:rsidRPr="00C36328">
              <w:t>5.2</w:t>
            </w:r>
            <w:r w:rsidRPr="00C36328">
              <w:tab/>
              <w:t>Continually check mud cleaning equipment and screens for integrity and correct operation</w:t>
            </w:r>
          </w:p>
          <w:p w:rsidR="00000000" w:rsidRPr="00C36328" w:rsidP="00C36328">
            <w:pPr>
              <w:pStyle w:val="BodyText"/>
            </w:pPr>
            <w:r w:rsidRPr="00C36328">
              <w:t>5.3</w:t>
            </w:r>
            <w:r w:rsidRPr="00C36328">
              <w:tab/>
              <w:t xml:space="preserve">Check drilling fluid quantities with </w:t>
            </w:r>
            <w:r w:rsidRPr="00C36328">
              <w:t>sufficient being in reserve to kill well and keep hole on full trip</w:t>
            </w:r>
          </w:p>
          <w:p w:rsidR="00000000" w:rsidRPr="00C36328" w:rsidP="00C36328">
            <w:pPr>
              <w:pStyle w:val="BodyText"/>
            </w:pPr>
            <w:r w:rsidRPr="00C36328">
              <w:t>5.4</w:t>
            </w:r>
            <w:r w:rsidRPr="00C36328">
              <w:tab/>
              <w:t>Record correct mud properties on tour report</w:t>
            </w:r>
          </w:p>
          <w:p w:rsidR="00000000" w:rsidRPr="00C36328" w:rsidP="00C36328">
            <w:pPr>
              <w:pStyle w:val="BodyText"/>
            </w:pPr>
            <w:r w:rsidRPr="00C36328">
              <w:t>5.5</w:t>
            </w:r>
            <w:r w:rsidRPr="00C36328">
              <w:tab/>
              <w:t>Operate all equipment in accordance with manufacturer regulations and company procedures</w:t>
            </w:r>
          </w:p>
          <w:p w:rsidR="00000000" w:rsidRPr="00C36328" w:rsidP="00C36328">
            <w:pPr>
              <w:pStyle w:val="BodyText"/>
            </w:pPr>
            <w:r w:rsidRPr="00C36328">
              <w:t>5.6</w:t>
            </w:r>
            <w:r w:rsidRPr="00C36328">
              <w:tab/>
            </w:r>
            <w:r w:rsidRPr="00C36328">
              <w:t>Maintain a sound working relationship with third party contractors</w:t>
            </w:r>
          </w:p>
        </w:tc>
      </w:tr>
    </w:tbl>
    <w:p w:rsidR="00000000" w:rsidRPr="00C36328" w:rsidP="00C36328">
      <w:pPr>
        <w:pStyle w:val="BodyText"/>
      </w:pPr>
    </w:p>
    <w:p w:rsidR="00000000" w:rsidRPr="00C36328" w:rsidP="00C36328">
      <w:pPr>
        <w:pStyle w:val="AllowPageBreak"/>
      </w:pPr>
    </w:p>
    <w:p w:rsidR="00000000" w:rsidRPr="00C36328" w:rsidP="00C36328">
      <w:pPr>
        <w:pStyle w:val="Heading1"/>
      </w:pPr>
      <w:bookmarkStart w:id="5" w:name="O_691041"/>
      <w:bookmarkEnd w:id="5"/>
      <w:r w:rsidRPr="00C36328">
        <w:t>Foundation Skills</w:t>
      </w:r>
    </w:p>
    <w:p w:rsidR="00CD51B6" w:rsidP="00CD51B6">
      <w:pPr>
        <w:pStyle w:val="BodyText"/>
      </w:pPr>
      <w:r w:rsidRPr="00C36328">
        <w:t xml:space="preserve">Foundation skills essential to performance are explicit in the performance criteria of this unit. Further information is available in the Resources and </w:t>
      </w:r>
      <w:r w:rsidRPr="00C36328">
        <w:t>Infrastructure Industry Training Package Companion Volume.</w:t>
      </w:r>
    </w:p>
    <w:p w:rsidR="00000000" w:rsidRPr="00C36328" w:rsidP="00C36328">
      <w:pPr>
        <w:pStyle w:val="Heading1"/>
      </w:pPr>
      <w:bookmarkStart w:id="6" w:name="O_691040"/>
      <w:bookmarkEnd w:id="6"/>
      <w:r w:rsidRPr="00C36328">
        <w:t>Unit Mapping Information</w:t>
      </w:r>
    </w:p>
    <w:p w:rsidR="00CD51B6" w:rsidP="00CD51B6">
      <w:pPr>
        <w:pStyle w:val="BodyText"/>
      </w:pPr>
      <w:r w:rsidRPr="00C36328">
        <w:t>No equivalent Unit</w:t>
      </w:r>
    </w:p>
    <w:p w:rsidR="00000000" w:rsidRPr="00C36328" w:rsidP="00C36328">
      <w:pPr>
        <w:pStyle w:val="Heading1"/>
      </w:pPr>
      <w:bookmarkStart w:id="7" w:name="O_691046"/>
      <w:bookmarkEnd w:id="7"/>
      <w:r w:rsidRPr="00C36328">
        <w:t>Links</w:t>
      </w:r>
    </w:p>
    <w:p w:rsidR="00000000" w:rsidRPr="00C36328" w:rsidP="00CD51B6">
      <w:pPr>
        <w:pStyle w:val="BodyText"/>
      </w:pPr>
      <w:r w:rsidRPr="00C363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C725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36328" w:rsidP="00C36328"/>
    <w:sectPr w:rsidSect="00C363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28" w:rsidRPr="00CD51B6" w:rsidP="00CD51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1B6" w:rsidP="00C363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51B6" w:rsidP="00C363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51B6" w:rsidP="00C363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1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328" w:rsidRPr="00CD51B6" w:rsidP="00CD51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1B6" w:rsidRPr="002D2AF8" w:rsidP="00C363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RIIOGD401D Rig up, conduct pre-spud operations and rig down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CD51B6" w:rsidP="00C363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3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3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3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3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3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3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3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3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3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3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3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328"/>
  </w:style>
  <w:style w:type="character" w:customStyle="1" w:styleId="Heading1Char">
    <w:name w:val="Heading 1 Char"/>
    <w:basedOn w:val="DefaultParagraphFont"/>
    <w:link w:val="Heading1"/>
    <w:rsid w:val="00C363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32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363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32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363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3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63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3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3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3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3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3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3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3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3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3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3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3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3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3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3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3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3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3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632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63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6328"/>
    <w:rPr>
      <w:b/>
      <w:spacing w:val="0"/>
    </w:rPr>
  </w:style>
  <w:style w:type="paragraph" w:customStyle="1" w:styleId="SuperTitle">
    <w:name w:val="SuperTitle"/>
    <w:basedOn w:val="Title"/>
    <w:rsid w:val="00C363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3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3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632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63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3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3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3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3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3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3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3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3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6328"/>
    <w:rPr>
      <w:i/>
    </w:rPr>
  </w:style>
  <w:style w:type="paragraph" w:styleId="Caption">
    <w:name w:val="caption"/>
    <w:basedOn w:val="BodyText"/>
    <w:next w:val="Normal"/>
    <w:qFormat/>
    <w:rsid w:val="00C363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3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3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328"/>
  </w:style>
  <w:style w:type="paragraph" w:styleId="TableofFigures">
    <w:name w:val="table of figures"/>
    <w:basedOn w:val="Normal"/>
    <w:next w:val="Normal"/>
    <w:semiHidden/>
    <w:rsid w:val="00C363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32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6328"/>
    <w:rPr>
      <w:rFonts w:ascii="Wingdings" w:hAnsi="Wingdings"/>
    </w:rPr>
  </w:style>
  <w:style w:type="paragraph" w:customStyle="1" w:styleId="TableHeading">
    <w:name w:val="Table Heading"/>
    <w:basedOn w:val="HeadingBase"/>
    <w:rsid w:val="00C363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328"/>
    <w:rPr>
      <w:color w:val="0033CC"/>
      <w:u w:val="none"/>
    </w:rPr>
  </w:style>
  <w:style w:type="paragraph" w:customStyle="1" w:styleId="BodyTextRight">
    <w:name w:val="Body Text Right"/>
    <w:basedOn w:val="BodyText"/>
    <w:rsid w:val="00C363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3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32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3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3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3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328"/>
    <w:rPr>
      <w:sz w:val="32"/>
    </w:rPr>
  </w:style>
  <w:style w:type="paragraph" w:customStyle="1" w:styleId="HeadingProcedure">
    <w:name w:val="Heading Procedure"/>
    <w:basedOn w:val="HeadingBase"/>
    <w:next w:val="Normal"/>
    <w:rsid w:val="00C363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328"/>
    <w:pPr>
      <w:spacing w:before="60" w:after="60"/>
    </w:pPr>
  </w:style>
  <w:style w:type="paragraph" w:styleId="ListContinue">
    <w:name w:val="List Continue"/>
    <w:basedOn w:val="List"/>
    <w:rsid w:val="00C36328"/>
    <w:pPr>
      <w:ind w:firstLine="0"/>
    </w:pPr>
  </w:style>
  <w:style w:type="paragraph" w:customStyle="1" w:styleId="ListNote">
    <w:name w:val="List Note"/>
    <w:basedOn w:val="List"/>
    <w:rsid w:val="00C363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3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3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328"/>
    <w:rPr>
      <w:rFonts w:ascii="Courier New" w:hAnsi="Courier New"/>
    </w:rPr>
  </w:style>
  <w:style w:type="paragraph" w:customStyle="1" w:styleId="NoteBullet">
    <w:name w:val="Note Bullet"/>
    <w:basedOn w:val="Note"/>
    <w:rsid w:val="00C363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3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3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3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32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63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3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328"/>
    <w:rPr>
      <w:b/>
      <w:smallCaps/>
    </w:rPr>
  </w:style>
  <w:style w:type="paragraph" w:customStyle="1" w:styleId="TableListNumber">
    <w:name w:val="Table List Number"/>
    <w:basedOn w:val="ListNumber"/>
    <w:rsid w:val="00C363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3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328"/>
    <w:pPr>
      <w:numPr>
        <w:numId w:val="7"/>
      </w:numPr>
    </w:pPr>
  </w:style>
  <w:style w:type="paragraph" w:customStyle="1" w:styleId="ListAlpha2">
    <w:name w:val="List Alpha 2"/>
    <w:basedOn w:val="List2"/>
    <w:rsid w:val="00C36328"/>
    <w:pPr>
      <w:numPr>
        <w:numId w:val="6"/>
      </w:numPr>
    </w:pPr>
  </w:style>
  <w:style w:type="paragraph" w:styleId="List2">
    <w:name w:val="List 2"/>
    <w:basedOn w:val="BodyText"/>
    <w:rsid w:val="00C363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3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3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3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32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32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6328"/>
    <w:pPr>
      <w:numPr>
        <w:numId w:val="2"/>
      </w:numPr>
    </w:pPr>
  </w:style>
  <w:style w:type="paragraph" w:styleId="ListContinue2">
    <w:name w:val="List Continue 2"/>
    <w:basedOn w:val="List2"/>
    <w:rsid w:val="00C36328"/>
    <w:pPr>
      <w:ind w:firstLine="0"/>
    </w:pPr>
  </w:style>
  <w:style w:type="paragraph" w:styleId="ListContinue3">
    <w:name w:val="List Continue 3"/>
    <w:basedOn w:val="List3"/>
    <w:rsid w:val="00C36328"/>
    <w:pPr>
      <w:ind w:left="1021" w:firstLine="0"/>
    </w:pPr>
  </w:style>
  <w:style w:type="paragraph" w:styleId="ListContinue4">
    <w:name w:val="List Continue 4"/>
    <w:basedOn w:val="List4"/>
    <w:rsid w:val="00C36328"/>
    <w:pPr>
      <w:ind w:firstLine="0"/>
    </w:pPr>
  </w:style>
  <w:style w:type="paragraph" w:styleId="ListContinue5">
    <w:name w:val="List Continue 5"/>
    <w:basedOn w:val="List5"/>
    <w:rsid w:val="00C36328"/>
    <w:pPr>
      <w:ind w:firstLine="0"/>
    </w:pPr>
  </w:style>
  <w:style w:type="paragraph" w:styleId="ListNumber3">
    <w:name w:val="List Number 3"/>
    <w:basedOn w:val="List3"/>
    <w:rsid w:val="00C36328"/>
    <w:pPr>
      <w:numPr>
        <w:numId w:val="3"/>
      </w:numPr>
    </w:pPr>
  </w:style>
  <w:style w:type="paragraph" w:styleId="ListNumber4">
    <w:name w:val="List Number 4"/>
    <w:basedOn w:val="List4"/>
    <w:rsid w:val="00C36328"/>
    <w:pPr>
      <w:numPr>
        <w:numId w:val="4"/>
      </w:numPr>
    </w:pPr>
  </w:style>
  <w:style w:type="paragraph" w:styleId="ListNumber5">
    <w:name w:val="List Number 5"/>
    <w:basedOn w:val="List5"/>
    <w:rsid w:val="00C36328"/>
    <w:pPr>
      <w:numPr>
        <w:numId w:val="5"/>
      </w:numPr>
    </w:pPr>
  </w:style>
  <w:style w:type="paragraph" w:styleId="BlockText">
    <w:name w:val="Block Text"/>
    <w:basedOn w:val="Normal"/>
    <w:rsid w:val="00C363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3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328"/>
    <w:rPr>
      <w:sz w:val="16"/>
      <w:vertAlign w:val="superscript"/>
    </w:rPr>
  </w:style>
  <w:style w:type="character" w:customStyle="1" w:styleId="Symbols">
    <w:name w:val="Symbols"/>
    <w:basedOn w:val="DefaultParagraphFont"/>
    <w:rsid w:val="00C36328"/>
    <w:rPr>
      <w:rFonts w:ascii="Symbol" w:hAnsi="Symbol"/>
    </w:rPr>
  </w:style>
  <w:style w:type="character" w:customStyle="1" w:styleId="MenuOptions">
    <w:name w:val="Menu Options"/>
    <w:basedOn w:val="DefaultParagraphFont"/>
    <w:rsid w:val="00C363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328"/>
    <w:rPr>
      <w:b/>
    </w:rPr>
  </w:style>
  <w:style w:type="character" w:customStyle="1" w:styleId="Underlined">
    <w:name w:val="Underlined"/>
    <w:basedOn w:val="DefaultParagraphFont"/>
    <w:rsid w:val="00C36328"/>
    <w:rPr>
      <w:u w:val="single"/>
    </w:rPr>
  </w:style>
  <w:style w:type="paragraph" w:customStyle="1" w:styleId="TableBodyTextRight">
    <w:name w:val="Table Body Text Right"/>
    <w:basedOn w:val="TableBodyText"/>
    <w:rsid w:val="00C363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328"/>
    <w:rPr>
      <w:sz w:val="18"/>
    </w:rPr>
  </w:style>
  <w:style w:type="paragraph" w:customStyle="1" w:styleId="BodySmallRight">
    <w:name w:val="Body Small Right"/>
    <w:basedOn w:val="BodyTextRight"/>
    <w:rsid w:val="00C36328"/>
    <w:rPr>
      <w:sz w:val="18"/>
      <w:szCs w:val="18"/>
    </w:rPr>
  </w:style>
  <w:style w:type="paragraph" w:customStyle="1" w:styleId="MarginEdition">
    <w:name w:val="Margin Edition"/>
    <w:basedOn w:val="MarginNote"/>
    <w:rsid w:val="00C363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328"/>
    <w:rPr>
      <w:sz w:val="2"/>
      <w:szCs w:val="2"/>
    </w:rPr>
  </w:style>
  <w:style w:type="character" w:customStyle="1" w:styleId="Small">
    <w:name w:val="Small"/>
    <w:basedOn w:val="DefaultParagraphFont"/>
    <w:rsid w:val="00C36328"/>
    <w:rPr>
      <w:sz w:val="16"/>
    </w:rPr>
  </w:style>
  <w:style w:type="paragraph" w:customStyle="1" w:styleId="WideTable">
    <w:name w:val="Wide Table"/>
    <w:basedOn w:val="Normal"/>
    <w:rsid w:val="00C363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328"/>
  </w:style>
  <w:style w:type="paragraph" w:styleId="Quote">
    <w:name w:val="Quote"/>
    <w:basedOn w:val="Heading1"/>
    <w:link w:val="QuoteChar"/>
    <w:qFormat/>
    <w:rsid w:val="00C363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3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328"/>
    <w:pPr>
      <w:pageBreakBefore/>
    </w:pPr>
  </w:style>
  <w:style w:type="paragraph" w:customStyle="1" w:styleId="Border">
    <w:name w:val="Border"/>
    <w:basedOn w:val="Normal"/>
    <w:qFormat/>
    <w:rsid w:val="00C363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3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3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3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3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3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3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3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3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328"/>
    <w:rPr>
      <w:u w:val="single"/>
    </w:rPr>
  </w:style>
  <w:style w:type="character" w:customStyle="1" w:styleId="BoldandItalics">
    <w:name w:val="Bold and Italics"/>
    <w:qFormat/>
    <w:rsid w:val="00C36328"/>
    <w:rPr>
      <w:b/>
      <w:i/>
      <w:u w:val="none"/>
    </w:rPr>
  </w:style>
  <w:style w:type="paragraph" w:styleId="BalloonText">
    <w:name w:val="Balloon Text"/>
    <w:basedOn w:val="Normal"/>
    <w:link w:val="BalloonTextChar"/>
    <w:rsid w:val="00C363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3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3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3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3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3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328"/>
    <w:pPr>
      <w:spacing w:before="0" w:after="0"/>
    </w:pPr>
  </w:style>
  <w:style w:type="paragraph" w:customStyle="1" w:styleId="BodyTextBold">
    <w:name w:val="Body Text Bold"/>
    <w:basedOn w:val="BodyText"/>
    <w:qFormat/>
    <w:rsid w:val="00C36328"/>
    <w:rPr>
      <w:b/>
    </w:rPr>
  </w:style>
  <w:style w:type="character" w:styleId="Hyperlink">
    <w:name w:val="Hyperlink"/>
    <w:basedOn w:val="DefaultParagraphFont"/>
    <w:uiPriority w:val="99"/>
    <w:unhideWhenUsed/>
    <w:rsid w:val="00CD51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3627</Characters>
  <Application>Microsoft Office Word</Application>
  <DocSecurity>0</DocSecurity>
  <Lines>109</Lines>
  <Paragraphs>70</Paragraphs>
  <ScaleCrop>false</ScaleCrop>
  <Company>Author-it Software Corporation Ltd.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RIIOGD401D Rig up, conduct pre-spud operations and rig down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2021-01-25T11:09:00Z</dcterms:created>
  <dcterms:modified xsi:type="dcterms:W3CDTF">2021-01-25T11:09:00Z</dcterms:modified>
</cp:coreProperties>
</file>