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E62" w:rsidP="00EB7E62">
      <w:pPr>
        <w:pStyle w:val="Title"/>
      </w:pPr>
      <w:r>
        <w:fldChar w:fldCharType="begin"/>
      </w:r>
      <w:r>
        <w:instrText xml:space="preserve"> TITLE   \* MERGEFORMAT </w:instrText>
      </w:r>
      <w:r>
        <w:fldChar w:fldCharType="separate"/>
      </w:r>
      <w:r>
        <w:t>Assessment Requirements for RIIOGD209E Operate and maintain ancillary equipment</w:t>
      </w:r>
      <w:r>
        <w:fldChar w:fldCharType="end"/>
      </w:r>
    </w:p>
    <w:p w:rsidR="00EB7E62" w:rsidP="00EB7E62">
      <w:pPr>
        <w:pStyle w:val="Version"/>
        <w:sectPr w:rsidSect="008518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8B6" w:rsidP="008518B6">
      <w:pPr>
        <w:pStyle w:val="SuperHeading"/>
      </w:pPr>
      <w:r w:rsidRPr="008518B6">
        <w:t>Assessment Requirements for RIIOGD209E Operate and maintain ancillary equipment</w:t>
      </w:r>
    </w:p>
    <w:p w:rsidR="00000000" w:rsidRPr="008518B6" w:rsidP="008518B6">
      <w:pPr>
        <w:pStyle w:val="Heading1"/>
      </w:pPr>
      <w:bookmarkStart w:id="1" w:name="O_849827"/>
      <w:bookmarkEnd w:id="1"/>
      <w:r w:rsidRPr="008518B6">
        <w:t>Modification History</w:t>
      </w:r>
    </w:p>
    <w:tbl>
      <w:tblPr>
        <w:tblW w:w="0" w:type="auto"/>
        <w:tblLayout w:type="fixed"/>
        <w:tblCellMar>
          <w:left w:w="62" w:type="dxa"/>
          <w:right w:w="62" w:type="dxa"/>
        </w:tblCellMar>
        <w:tblLook w:val="0000"/>
      </w:tblPr>
      <w:tblGrid>
        <w:gridCol w:w="1029"/>
        <w:gridCol w:w="5854"/>
      </w:tblGrid>
      <w:tr w:rsidTr="008518B6">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B6">
            <w:pPr>
              <w:pStyle w:val="Heading4"/>
              <w:rPr>
                <w:lang w:val="en-NZ"/>
              </w:rPr>
            </w:pPr>
            <w:r w:rsidRPr="008518B6">
              <w:t>Release</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B6">
            <w:pPr>
              <w:pStyle w:val="Heading4"/>
              <w:rPr>
                <w:lang w:val="en-NZ"/>
              </w:rPr>
            </w:pPr>
            <w:r w:rsidRPr="008518B6">
              <w:t>Comment</w:t>
            </w:r>
          </w:p>
        </w:tc>
      </w:tr>
      <w:tr w:rsidTr="008518B6">
        <w:tblPrEx>
          <w:tblW w:w="0" w:type="auto"/>
          <w:tblLayout w:type="fixed"/>
          <w:tblCellMar>
            <w:left w:w="62" w:type="dxa"/>
            <w:right w:w="62" w:type="dxa"/>
          </w:tblCellMar>
          <w:tblLook w:val="0000"/>
        </w:tblPrEx>
        <w:trPr>
          <w:trHeight w:val="496"/>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B6">
            <w:pPr>
              <w:pStyle w:val="BodyText"/>
              <w:rPr>
                <w:lang w:val="en-NZ"/>
              </w:rPr>
            </w:pPr>
            <w:r w:rsidRPr="008518B6">
              <w:t>1</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8B6" w:rsidP="008518B6">
            <w:pPr>
              <w:pStyle w:val="BodyText"/>
            </w:pPr>
            <w:r w:rsidRPr="008518B6">
              <w:t>This unit replaces RIIOGD209D Operate and maintain ancillary equipment. Performance criteria amended.</w:t>
            </w:r>
          </w:p>
        </w:tc>
      </w:tr>
    </w:tbl>
    <w:p w:rsidR="00000000" w:rsidRPr="008518B6" w:rsidP="008518B6">
      <w:pPr>
        <w:pStyle w:val="BodyText"/>
      </w:pPr>
    </w:p>
    <w:p w:rsidR="00000000" w:rsidRPr="008518B6" w:rsidP="008518B6">
      <w:pPr>
        <w:pStyle w:val="AllowPageBreak"/>
      </w:pPr>
    </w:p>
    <w:p w:rsidR="00000000" w:rsidRPr="008518B6" w:rsidP="008518B6">
      <w:pPr>
        <w:pStyle w:val="Heading1"/>
      </w:pPr>
      <w:bookmarkStart w:id="2" w:name="O_849830"/>
      <w:bookmarkEnd w:id="2"/>
      <w:r w:rsidRPr="008518B6">
        <w:t>Performance Evidence</w:t>
      </w:r>
    </w:p>
    <w:p w:rsidR="00000000" w:rsidRPr="008518B6" w:rsidP="00EB7E62">
      <w:pPr>
        <w:pStyle w:val="BodyText"/>
      </w:pPr>
      <w:r w:rsidRPr="008518B6">
        <w:t>Evidence is required to be collected that demonstrates a candidate’s competency in this unit. Evidence must be relevant to the roles within this sector’s work operations and satisfy all of the requirements of the performance cr</w:t>
      </w:r>
      <w:r w:rsidRPr="008518B6">
        <w:t>iteria of this unit and include evidence that the candidate:</w:t>
      </w:r>
    </w:p>
    <w:p w:rsidR="00000000" w:rsidRPr="008518B6" w:rsidP="008518B6">
      <w:pPr>
        <w:pStyle w:val="ListBullet"/>
      </w:pPr>
      <w:r w:rsidRPr="008518B6">
        <w:t>locates and applies relevant legislation, documentation, policies and procedures</w:t>
      </w:r>
    </w:p>
    <w:p w:rsidR="00000000" w:rsidRPr="008518B6" w:rsidP="008518B6">
      <w:pPr>
        <w:pStyle w:val="ListBullet"/>
      </w:pPr>
      <w:r w:rsidRPr="008518B6">
        <w:t>implements the requirements, procedures and techniques for the safe, effective and efficient completion of ancillary equipment operation and maintenance including:</w:t>
      </w:r>
    </w:p>
    <w:p w:rsidR="00000000" w:rsidRPr="008518B6" w:rsidP="008518B6">
      <w:pPr>
        <w:pStyle w:val="ListBullet2"/>
      </w:pPr>
      <w:r w:rsidRPr="008518B6">
        <w:t>maintaining pumps</w:t>
      </w:r>
    </w:p>
    <w:p w:rsidR="00000000" w:rsidRPr="008518B6" w:rsidP="008518B6">
      <w:pPr>
        <w:pStyle w:val="ListBullet2"/>
      </w:pPr>
      <w:r w:rsidRPr="008518B6">
        <w:t>recognising and reporting equipment malfunction or failure</w:t>
      </w:r>
    </w:p>
    <w:p w:rsidR="00000000" w:rsidRPr="008518B6" w:rsidP="008518B6">
      <w:pPr>
        <w:pStyle w:val="ListBullet2"/>
      </w:pPr>
      <w:r w:rsidRPr="008518B6">
        <w:t>aligning, open</w:t>
      </w:r>
      <w:r w:rsidRPr="008518B6">
        <w:t>ing and closing valves as appropriate</w:t>
      </w:r>
    </w:p>
    <w:p w:rsidR="00000000" w:rsidRPr="008518B6" w:rsidP="008518B6">
      <w:pPr>
        <w:pStyle w:val="ListBullet2"/>
      </w:pPr>
      <w:r w:rsidRPr="008518B6">
        <w:t>using safety equipment, including fire protection, and First Aid equipment</w:t>
      </w:r>
    </w:p>
    <w:p w:rsidR="00000000" w:rsidRPr="008518B6" w:rsidP="008518B6">
      <w:pPr>
        <w:pStyle w:val="ListBullet"/>
      </w:pPr>
      <w:r w:rsidRPr="008518B6">
        <w:t>works effectively with others to undertake and complete the operation and maintenance of ancillary equipment that meets all of the required ou</w:t>
      </w:r>
      <w:r w:rsidRPr="008518B6">
        <w:t>tcomes including:</w:t>
      </w:r>
    </w:p>
    <w:p w:rsidR="00000000" w:rsidRPr="008518B6" w:rsidP="008518B6">
      <w:pPr>
        <w:pStyle w:val="ListBullet3"/>
      </w:pPr>
      <w:r w:rsidRPr="008518B6">
        <w:t>supervising and training subordinates to provided standards</w:t>
      </w:r>
    </w:p>
    <w:p w:rsidR="00000000" w:rsidRPr="008518B6" w:rsidP="008518B6">
      <w:pPr>
        <w:pStyle w:val="ListBullet3"/>
      </w:pPr>
      <w:r w:rsidRPr="008518B6">
        <w:t>working as directed by driller in timely and efficient manner</w:t>
      </w:r>
    </w:p>
    <w:p w:rsidR="00000000" w:rsidRPr="008518B6" w:rsidP="008518B6">
      <w:pPr>
        <w:pStyle w:val="ListBullet"/>
      </w:pPr>
      <w:r w:rsidRPr="008518B6">
        <w:t xml:space="preserve">demonstrates completion of ancillary equipment operation and maintenance that safely, </w:t>
      </w:r>
      <w:r w:rsidRPr="008518B6">
        <w:t>effectively and efficiently meets all of the required outcomes on more than one (1) occasion including:</w:t>
      </w:r>
    </w:p>
    <w:p w:rsidR="00000000" w:rsidRPr="008518B6" w:rsidP="008518B6">
      <w:pPr>
        <w:pStyle w:val="ListBullet2"/>
      </w:pPr>
      <w:r w:rsidRPr="008518B6">
        <w:t>isolating and locking out equipment as required</w:t>
      </w:r>
    </w:p>
    <w:p w:rsidR="00000000" w:rsidRPr="008518B6" w:rsidP="008518B6">
      <w:pPr>
        <w:pStyle w:val="ListBullet2"/>
      </w:pPr>
      <w:r w:rsidRPr="008518B6">
        <w:t>performing equipment checks on five (5) separate pieces of equipment from the following list:</w:t>
      </w:r>
    </w:p>
    <w:p w:rsidR="00000000" w:rsidRPr="008518B6" w:rsidP="008518B6">
      <w:pPr>
        <w:pStyle w:val="ListBullet3"/>
      </w:pPr>
      <w:r w:rsidRPr="008518B6">
        <w:t>mixing p</w:t>
      </w:r>
      <w:r w:rsidRPr="008518B6">
        <w:t>umps</w:t>
      </w:r>
    </w:p>
    <w:p w:rsidR="00000000" w:rsidRPr="008518B6" w:rsidP="008518B6">
      <w:pPr>
        <w:pStyle w:val="ListBullet3"/>
      </w:pPr>
      <w:r w:rsidRPr="008518B6">
        <w:t>change pumps</w:t>
      </w:r>
    </w:p>
    <w:p w:rsidR="00000000" w:rsidRPr="008518B6" w:rsidP="008518B6">
      <w:pPr>
        <w:pStyle w:val="ListBullet3"/>
      </w:pPr>
      <w:r w:rsidRPr="008518B6">
        <w:t>desander</w:t>
      </w:r>
    </w:p>
    <w:p w:rsidR="00000000" w:rsidRPr="008518B6" w:rsidP="008518B6">
      <w:pPr>
        <w:pStyle w:val="ListBullet3"/>
      </w:pPr>
      <w:r w:rsidRPr="008518B6">
        <w:t>desilter</w:t>
      </w:r>
    </w:p>
    <w:p w:rsidR="00000000" w:rsidRPr="008518B6" w:rsidP="008518B6">
      <w:pPr>
        <w:pStyle w:val="ListBullet3"/>
      </w:pPr>
      <w:r w:rsidRPr="008518B6">
        <w:t>centrifuges</w:t>
      </w:r>
    </w:p>
    <w:p w:rsidR="00000000" w:rsidRPr="008518B6" w:rsidP="008518B6">
      <w:pPr>
        <w:pStyle w:val="ListBullet3"/>
      </w:pPr>
      <w:r w:rsidRPr="008518B6">
        <w:t>degaser</w:t>
      </w:r>
    </w:p>
    <w:p w:rsidR="00000000" w:rsidRPr="008518B6" w:rsidP="008518B6">
      <w:pPr>
        <w:pStyle w:val="ListBullet3"/>
      </w:pPr>
      <w:r w:rsidRPr="008518B6">
        <w:t>piping</w:t>
      </w:r>
    </w:p>
    <w:p w:rsidR="00000000" w:rsidRPr="008518B6" w:rsidP="008518B6">
      <w:pPr>
        <w:pStyle w:val="ListBullet3"/>
      </w:pPr>
      <w:r w:rsidRPr="008518B6">
        <w:t>valves</w:t>
      </w:r>
    </w:p>
    <w:p w:rsidR="00000000" w:rsidRPr="008518B6" w:rsidP="008518B6">
      <w:pPr>
        <w:pStyle w:val="ListBullet3"/>
      </w:pPr>
      <w:r w:rsidRPr="008518B6">
        <w:t>agitators</w:t>
      </w:r>
    </w:p>
    <w:p w:rsidR="00000000" w:rsidRPr="008518B6" w:rsidP="008518B6">
      <w:pPr>
        <w:pStyle w:val="ListBullet3"/>
      </w:pPr>
      <w:r w:rsidRPr="008518B6">
        <w:t>caustic mixing system</w:t>
      </w:r>
    </w:p>
    <w:p w:rsidR="00000000" w:rsidRPr="008518B6" w:rsidP="008518B6">
      <w:pPr>
        <w:pStyle w:val="ListBullet3"/>
      </w:pPr>
      <w:r w:rsidRPr="008518B6">
        <w:t>mud guns</w:t>
      </w:r>
    </w:p>
    <w:p w:rsidR="00000000" w:rsidRPr="008518B6" w:rsidP="008518B6">
      <w:pPr>
        <w:pStyle w:val="ListBullet3"/>
      </w:pPr>
      <w:r w:rsidRPr="008518B6">
        <w:t>mixing hoppers</w:t>
      </w:r>
    </w:p>
    <w:p w:rsidR="00000000" w:rsidRPr="008518B6" w:rsidP="008518B6">
      <w:pPr>
        <w:pStyle w:val="ListBullet3"/>
      </w:pPr>
      <w:r w:rsidRPr="008518B6">
        <w:t>shearing devices</w:t>
      </w:r>
    </w:p>
    <w:p w:rsidR="00000000" w:rsidRPr="008518B6" w:rsidP="008518B6">
      <w:pPr>
        <w:pStyle w:val="ListBullet3"/>
      </w:pPr>
      <w:r w:rsidRPr="008518B6">
        <w:t>pit volume totaliser (PVT) system</w:t>
      </w:r>
    </w:p>
    <w:p w:rsidR="00000000" w:rsidRPr="008518B6" w:rsidP="008518B6">
      <w:pPr>
        <w:pStyle w:val="ListBullet3"/>
      </w:pPr>
      <w:r w:rsidRPr="008518B6">
        <w:t>pit volume totaliser</w:t>
      </w:r>
    </w:p>
    <w:p w:rsidR="00000000" w:rsidRPr="008518B6" w:rsidP="008518B6">
      <w:pPr>
        <w:pStyle w:val="ListBullet3"/>
      </w:pPr>
      <w:r w:rsidRPr="008518B6">
        <w:t>lubrication pumps</w:t>
      </w:r>
    </w:p>
    <w:p w:rsidR="00000000" w:rsidRPr="008518B6" w:rsidP="008518B6">
      <w:pPr>
        <w:pStyle w:val="ListBullet3"/>
      </w:pPr>
      <w:r w:rsidRPr="008518B6">
        <w:t>bolt material system</w:t>
      </w:r>
    </w:p>
    <w:p w:rsidR="00000000" w:rsidRPr="008518B6" w:rsidP="008518B6">
      <w:pPr>
        <w:pStyle w:val="ListBullet3"/>
      </w:pPr>
      <w:r w:rsidRPr="008518B6">
        <w:t>chemical handling system</w:t>
      </w:r>
    </w:p>
    <w:p w:rsidR="00000000" w:rsidRPr="008518B6" w:rsidP="008518B6">
      <w:pPr>
        <w:pStyle w:val="ListBullet3"/>
      </w:pPr>
      <w:r w:rsidRPr="008518B6">
        <w:t>dust/fuel extraction system</w:t>
      </w:r>
    </w:p>
    <w:p w:rsidR="00000000" w:rsidRPr="008518B6" w:rsidP="008518B6">
      <w:pPr>
        <w:pStyle w:val="ListBullet2"/>
      </w:pPr>
      <w:r w:rsidRPr="008518B6">
        <w:t>lubricating valve stems</w:t>
      </w:r>
    </w:p>
    <w:p w:rsidR="00000000" w:rsidRPr="008518B6" w:rsidP="008518B6">
      <w:pPr>
        <w:pStyle w:val="ListBullet2"/>
      </w:pPr>
      <w:r w:rsidRPr="008518B6">
        <w:t>replacing defective parts in valves</w:t>
      </w:r>
    </w:p>
    <w:p w:rsidR="00000000" w:rsidRPr="008518B6" w:rsidP="008518B6">
      <w:pPr>
        <w:pStyle w:val="ListBullet2"/>
      </w:pPr>
      <w:r w:rsidRPr="008518B6">
        <w:t>operating and maintaining chemical mixing pumps and equipment</w:t>
      </w:r>
    </w:p>
    <w:p w:rsidR="00000000" w:rsidRPr="008518B6" w:rsidP="008518B6">
      <w:pPr>
        <w:pStyle w:val="ListBullet2"/>
      </w:pPr>
      <w:r w:rsidRPr="008518B6">
        <w:t>cleaning and inspecting mixing hopper and mixing area</w:t>
      </w:r>
    </w:p>
    <w:p w:rsidR="00000000" w:rsidRPr="008518B6" w:rsidP="008518B6">
      <w:pPr>
        <w:pStyle w:val="AllowPageBreak"/>
      </w:pPr>
    </w:p>
    <w:p w:rsidR="00000000" w:rsidRPr="008518B6" w:rsidP="008518B6">
      <w:pPr>
        <w:pStyle w:val="Heading1"/>
      </w:pPr>
      <w:bookmarkStart w:id="3" w:name="O_849829"/>
      <w:bookmarkEnd w:id="3"/>
      <w:r w:rsidRPr="008518B6">
        <w:t>Knowledge Evidence</w:t>
      </w:r>
    </w:p>
    <w:p w:rsidR="00000000" w:rsidRPr="008518B6" w:rsidP="00EB7E62">
      <w:pPr>
        <w:pStyle w:val="BodyText"/>
      </w:pPr>
      <w:r w:rsidRPr="008518B6">
        <w:t>The candidate must demonstrate knowledge of the following when operating and maintaining ancillary equipment:</w:t>
      </w:r>
    </w:p>
    <w:p w:rsidR="00000000" w:rsidRPr="008518B6" w:rsidP="008518B6">
      <w:pPr>
        <w:pStyle w:val="ListBullet"/>
      </w:pPr>
      <w:r w:rsidRPr="008518B6">
        <w:t>mud system ancillary equipment</w:t>
      </w:r>
    </w:p>
    <w:p w:rsidR="00000000" w:rsidRPr="008518B6" w:rsidP="008518B6">
      <w:pPr>
        <w:pStyle w:val="ListBullet"/>
      </w:pPr>
      <w:r w:rsidRPr="008518B6">
        <w:t>company and statutory safety guidelines, procedures and practices</w:t>
      </w:r>
    </w:p>
    <w:p w:rsidR="00000000" w:rsidRPr="008518B6" w:rsidP="008518B6">
      <w:pPr>
        <w:pStyle w:val="ListBullet"/>
      </w:pPr>
      <w:r w:rsidRPr="008518B6">
        <w:t>safe operating procedures whe</w:t>
      </w:r>
      <w:r w:rsidRPr="008518B6">
        <w:t>n operating equipment</w:t>
      </w:r>
    </w:p>
    <w:p w:rsidR="00000000" w:rsidRPr="008518B6" w:rsidP="008518B6">
      <w:pPr>
        <w:pStyle w:val="ListBullet"/>
      </w:pPr>
      <w:r w:rsidRPr="008518B6">
        <w:t>rig maintenance</w:t>
      </w:r>
    </w:p>
    <w:p w:rsidR="00000000" w:rsidRPr="008518B6" w:rsidP="008518B6">
      <w:pPr>
        <w:pStyle w:val="ListBullet"/>
      </w:pPr>
      <w:r w:rsidRPr="008518B6">
        <w:t>normal drilling operations</w:t>
      </w:r>
    </w:p>
    <w:p w:rsidR="00000000" w:rsidRPr="008518B6" w:rsidP="008518B6">
      <w:pPr>
        <w:pStyle w:val="ListBullet"/>
      </w:pPr>
      <w:r w:rsidRPr="008518B6">
        <w:t>use of communication methods, including:</w:t>
      </w:r>
    </w:p>
    <w:p w:rsidR="00000000" w:rsidRPr="008518B6" w:rsidP="008518B6">
      <w:pPr>
        <w:pStyle w:val="ListBullet2"/>
      </w:pPr>
      <w:r w:rsidRPr="008518B6">
        <w:t>2-way radio</w:t>
      </w:r>
    </w:p>
    <w:p w:rsidR="00000000" w:rsidRPr="008518B6" w:rsidP="008518B6">
      <w:pPr>
        <w:pStyle w:val="ListBullet2"/>
      </w:pPr>
      <w:r w:rsidRPr="008518B6">
        <w:t>intercom</w:t>
      </w:r>
    </w:p>
    <w:p w:rsidR="00000000" w:rsidRPr="008518B6" w:rsidP="008518B6">
      <w:pPr>
        <w:pStyle w:val="ListBullet2"/>
      </w:pPr>
      <w:r w:rsidRPr="008518B6">
        <w:t>telephone</w:t>
      </w:r>
    </w:p>
    <w:p w:rsidR="00000000" w:rsidRPr="008518B6" w:rsidP="008518B6">
      <w:pPr>
        <w:pStyle w:val="ListBullet2"/>
      </w:pPr>
      <w:r w:rsidRPr="008518B6">
        <w:t>oral instruction</w:t>
      </w:r>
    </w:p>
    <w:p w:rsidR="00000000" w:rsidRPr="008518B6" w:rsidP="008518B6">
      <w:pPr>
        <w:pStyle w:val="ListBullet2"/>
      </w:pPr>
      <w:r w:rsidRPr="008518B6">
        <w:t>written instruction</w:t>
      </w:r>
    </w:p>
    <w:p w:rsidR="00000000" w:rsidRPr="008518B6" w:rsidP="008518B6">
      <w:pPr>
        <w:pStyle w:val="ListBullet2"/>
      </w:pPr>
      <w:r w:rsidRPr="008518B6">
        <w:t>hand signals</w:t>
      </w:r>
    </w:p>
    <w:p w:rsidR="00000000" w:rsidRPr="008518B6" w:rsidP="008518B6">
      <w:pPr>
        <w:pStyle w:val="ListBullet2"/>
      </w:pPr>
      <w:r w:rsidRPr="008518B6">
        <w:t>telephone</w:t>
      </w:r>
    </w:p>
    <w:p w:rsidR="00000000" w:rsidRPr="008518B6" w:rsidP="008518B6">
      <w:pPr>
        <w:pStyle w:val="ListBullet2"/>
      </w:pPr>
      <w:r w:rsidRPr="008518B6">
        <w:t>public address system</w:t>
      </w:r>
    </w:p>
    <w:p w:rsidR="00000000" w:rsidRPr="008518B6" w:rsidP="008518B6">
      <w:pPr>
        <w:pStyle w:val="ListBullet"/>
      </w:pPr>
      <w:r w:rsidRPr="008518B6">
        <w:t>operations to suit weather conditions, including:</w:t>
      </w:r>
    </w:p>
    <w:p w:rsidR="00000000" w:rsidRPr="008518B6" w:rsidP="008518B6">
      <w:pPr>
        <w:pStyle w:val="ListBullet2"/>
      </w:pPr>
      <w:r w:rsidRPr="008518B6">
        <w:t>day/night</w:t>
      </w:r>
    </w:p>
    <w:p w:rsidR="00000000" w:rsidRPr="008518B6" w:rsidP="008518B6">
      <w:pPr>
        <w:pStyle w:val="ListBullet2"/>
      </w:pPr>
      <w:r w:rsidRPr="008518B6">
        <w:t>storm/lightning</w:t>
      </w:r>
    </w:p>
    <w:p w:rsidR="00000000" w:rsidRPr="008518B6" w:rsidP="008518B6">
      <w:pPr>
        <w:pStyle w:val="ListBullet2"/>
      </w:pPr>
      <w:r w:rsidRPr="008518B6">
        <w:t>hot/cold</w:t>
      </w:r>
    </w:p>
    <w:p w:rsidR="00000000" w:rsidRPr="008518B6" w:rsidP="008518B6">
      <w:pPr>
        <w:pStyle w:val="ListBullet2"/>
      </w:pPr>
      <w:r w:rsidRPr="008518B6">
        <w:t>wet/dry</w:t>
      </w:r>
    </w:p>
    <w:p w:rsidR="00000000" w:rsidRPr="008518B6" w:rsidP="008518B6">
      <w:pPr>
        <w:pStyle w:val="ListBullet"/>
      </w:pPr>
      <w:r w:rsidRPr="008518B6">
        <w:t>non-routine drilling operations</w:t>
      </w:r>
    </w:p>
    <w:p w:rsidR="00000000" w:rsidRPr="008518B6" w:rsidP="008518B6">
      <w:pPr>
        <w:pStyle w:val="ListBullet"/>
      </w:pPr>
      <w:r w:rsidRPr="008518B6">
        <w:t>discharge types and characteristics, including liquids, gases and solids</w:t>
      </w:r>
    </w:p>
    <w:p w:rsidR="00000000" w:rsidRPr="008518B6" w:rsidP="008518B6">
      <w:pPr>
        <w:pStyle w:val="ListBullet"/>
      </w:pPr>
      <w:r w:rsidRPr="008518B6">
        <w:t>material characteristics, including flammable, toxic, co</w:t>
      </w:r>
      <w:r w:rsidRPr="008518B6">
        <w:t>rrosive and explosive</w:t>
      </w:r>
    </w:p>
    <w:p w:rsidR="00000000" w:rsidRPr="008518B6" w:rsidP="008518B6">
      <w:pPr>
        <w:pStyle w:val="ListBullet"/>
      </w:pPr>
      <w:r w:rsidRPr="008518B6">
        <w:t>man management/rig management</w:t>
      </w:r>
    </w:p>
    <w:p w:rsidR="00000000" w:rsidRPr="008518B6" w:rsidP="008518B6">
      <w:pPr>
        <w:pStyle w:val="ListBullet"/>
      </w:pPr>
      <w:r w:rsidRPr="008518B6">
        <w:t>permit to work system</w:t>
      </w:r>
    </w:p>
    <w:p w:rsidR="00000000" w:rsidRPr="008518B6" w:rsidP="008518B6">
      <w:pPr>
        <w:pStyle w:val="ListBullet"/>
      </w:pPr>
      <w:r w:rsidRPr="008518B6">
        <w:t>equipment isolation procedures</w:t>
      </w:r>
    </w:p>
    <w:p w:rsidR="00000000" w:rsidRPr="008518B6" w:rsidP="008518B6">
      <w:pPr>
        <w:pStyle w:val="ListBullet"/>
      </w:pPr>
      <w:r w:rsidRPr="008518B6">
        <w:t>using specialised hand tools</w:t>
      </w:r>
    </w:p>
    <w:p w:rsidR="00000000" w:rsidRPr="008518B6" w:rsidP="008518B6">
      <w:pPr>
        <w:pStyle w:val="AllowPageBreak"/>
      </w:pPr>
    </w:p>
    <w:p w:rsidR="00000000" w:rsidRPr="008518B6" w:rsidP="008518B6">
      <w:pPr>
        <w:pStyle w:val="Heading1"/>
      </w:pPr>
      <w:bookmarkStart w:id="4" w:name="O_849828"/>
      <w:bookmarkEnd w:id="4"/>
      <w:r w:rsidRPr="008518B6">
        <w:t>Assessment Conditions</w:t>
      </w:r>
    </w:p>
    <w:p w:rsidR="00000000" w:rsidRPr="008518B6" w:rsidP="008518B6">
      <w:pPr>
        <w:pStyle w:val="ListBullet"/>
      </w:pPr>
      <w:r w:rsidRPr="008518B6">
        <w:t>Assessors must satisfy the Sta</w:t>
      </w:r>
      <w:r w:rsidRPr="008518B6">
        <w:t xml:space="preserve">ndards for Registered Training Organisations (RTOs) 2015/AQTF mandatory competency requirements for assessors; and industry regulations for certification and licensing; and, </w:t>
      </w:r>
    </w:p>
    <w:p w:rsidR="00000000" w:rsidRPr="008518B6" w:rsidP="008518B6">
      <w:pPr>
        <w:pStyle w:val="ListBullet"/>
      </w:pPr>
      <w:r w:rsidRPr="008518B6">
        <w:t>this unit must be assessed in the context of this sector’s work environment; and,</w:t>
      </w:r>
    </w:p>
    <w:p w:rsidR="00000000" w:rsidRPr="008518B6" w:rsidP="008518B6">
      <w:pPr>
        <w:pStyle w:val="ListBullet"/>
      </w:pPr>
      <w:r w:rsidRPr="008518B6">
        <w:t>this unit must be assessed in compliance with relevant legislation/regulation and using policies, procedures, processes and operational manuals directly related to the industry sector for which it is being assessed; and,</w:t>
      </w:r>
    </w:p>
    <w:p w:rsidR="00000000" w:rsidRPr="008518B6" w:rsidP="008518B6">
      <w:pPr>
        <w:pStyle w:val="ListBullet"/>
      </w:pPr>
      <w:r w:rsidRPr="008518B6">
        <w:t>assessment may be conducted in con</w:t>
      </w:r>
      <w:r w:rsidRPr="008518B6">
        <w:t>junction with the assessment of other units of competency; and,</w:t>
      </w:r>
    </w:p>
    <w:p w:rsidR="00000000" w:rsidRPr="008518B6" w:rsidP="008518B6">
      <w:pPr>
        <w:pStyle w:val="ListBullet"/>
      </w:pPr>
      <w:r w:rsidRPr="008518B6">
        <w:t>assessment must confirm consistent performance can be applied in a range of relevant workplace circumstances; and,</w:t>
      </w:r>
    </w:p>
    <w:p w:rsidR="00000000" w:rsidRPr="008518B6" w:rsidP="008518B6">
      <w:pPr>
        <w:pStyle w:val="ListBullet"/>
      </w:pPr>
      <w:r w:rsidRPr="008518B6">
        <w:t>assessors must demonstrate the performance evidence, and knowledge evidence a</w:t>
      </w:r>
      <w:r w:rsidRPr="008518B6">
        <w:t>s outlined in this unit of competency, and through the minimum years of current* work experience specified below in an industry sector relevant to the outcomes of the unit; or,</w:t>
      </w:r>
    </w:p>
    <w:p w:rsidR="00000000" w:rsidRPr="008518B6" w:rsidP="008518B6">
      <w:pPr>
        <w:pStyle w:val="ListBullet"/>
      </w:pPr>
      <w:r w:rsidRPr="008518B6">
        <w:t>where the assessor does not meet experience requirements a co-assessment or par</w:t>
      </w:r>
      <w:r w:rsidRPr="008518B6">
        <w:t>tnership arrangement must exist between the qualified assessor and an industry subject matter expert. The industry subject matter expert should hold the unit being assessed (or an equivalent unit) and/or demonstrate equivalence of skills and knowledge at t</w:t>
      </w:r>
      <w:r w:rsidRPr="008518B6">
        <w: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518B6" w:rsidP="008518B6">
      <w:pPr>
        <w:pStyle w:val="ListBullet"/>
      </w:pPr>
      <w:r w:rsidRPr="008518B6">
        <w:t>assessor</w:t>
      </w:r>
      <w:r w:rsidRPr="008518B6">
        <w:t xml:space="preserve">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518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Heading4"/>
              <w:rPr>
                <w:lang w:val="en-NZ"/>
              </w:rPr>
            </w:pPr>
            <w:r w:rsidRPr="008518B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Heading4"/>
              <w:rPr>
                <w:lang w:val="en-NZ"/>
              </w:rPr>
            </w:pPr>
            <w:r w:rsidRPr="008518B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Heading4"/>
              <w:rPr>
                <w:lang w:val="en-NZ"/>
              </w:rPr>
            </w:pPr>
            <w:r w:rsidRPr="008518B6">
              <w:t>Required assessor or industry subjec</w:t>
            </w:r>
            <w:r w:rsidRPr="008518B6">
              <w:t>t matter expert experience</w:t>
            </w:r>
          </w:p>
        </w:tc>
      </w:tr>
      <w:tr w:rsidTr="008518B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1 Year</w:t>
            </w:r>
          </w:p>
        </w:tc>
      </w:tr>
      <w:tr w:rsidTr="008518B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2 Years</w:t>
            </w:r>
          </w:p>
        </w:tc>
      </w:tr>
      <w:tr w:rsidTr="008518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3 Years</w:t>
            </w:r>
          </w:p>
        </w:tc>
      </w:tr>
      <w:tr w:rsidTr="008518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5 Years</w:t>
            </w:r>
          </w:p>
        </w:tc>
      </w:tr>
      <w:tr w:rsidTr="008518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18B6">
            <w:pPr>
              <w:pStyle w:val="BodyText"/>
              <w:rPr>
                <w:lang w:val="en-NZ"/>
              </w:rPr>
            </w:pPr>
            <w:r w:rsidRPr="008518B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18B6" w:rsidP="008518B6">
            <w:pPr>
              <w:pStyle w:val="BodyText"/>
            </w:pPr>
            <w:r w:rsidRPr="008518B6">
              <w:t>Where this unit is being assessed outside of the Resources and Infrastructure Sectors, assessor and/or industry subject matter expert experience should be in-line with industry standards for the sector in which it is being assessed a</w:t>
            </w:r>
            <w:r w:rsidRPr="008518B6">
              <w:t>nd, where no industry standard is specified should comply with any relevant regulation.</w:t>
            </w:r>
          </w:p>
        </w:tc>
      </w:tr>
    </w:tbl>
    <w:p w:rsidR="00000000" w:rsidRPr="008518B6" w:rsidP="00EB7E62">
      <w:pPr>
        <w:pStyle w:val="BodyText"/>
      </w:pPr>
      <w:r w:rsidRPr="008518B6">
        <w:t xml:space="preserve">*Assessors can demonstrate current work experience through employment within industry in a role relevant to the outcomes of the unit; or, for external assessors this </w:t>
      </w:r>
      <w:r w:rsidRPr="008518B6">
        <w:t>can be demonstrated through exposure to industry by conducting frequent site assessments across various locations.</w:t>
      </w:r>
    </w:p>
    <w:p w:rsidR="00000000" w:rsidRPr="008518B6" w:rsidP="00EB7E62">
      <w:pPr>
        <w:pStyle w:val="BodyText"/>
      </w:pPr>
      <w:r w:rsidRPr="008518B6">
        <w:t>**Where a unit is being delivered outside of a qualification the first numeric character in the unit code should be considered to indicate th</w:t>
      </w:r>
      <w:r w:rsidRPr="008518B6">
        <w:t>e AQF level.</w:t>
      </w:r>
    </w:p>
    <w:p w:rsidR="00000000" w:rsidRPr="008518B6" w:rsidP="008518B6">
      <w:pPr>
        <w:pStyle w:val="Heading1"/>
      </w:pPr>
      <w:bookmarkStart w:id="5" w:name="O_849826"/>
      <w:bookmarkEnd w:id="5"/>
      <w:r w:rsidRPr="008518B6">
        <w:t>Links</w:t>
      </w:r>
    </w:p>
    <w:p w:rsidR="00000000" w:rsidRPr="008518B6" w:rsidP="00EB7E62">
      <w:pPr>
        <w:pStyle w:val="BodyText"/>
      </w:pPr>
      <w:r w:rsidRPr="008518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D476E">
        <w:rPr>
          <w:rStyle w:val="Hyperlink"/>
        </w:rPr>
        <w:t>https://vetnet.gov.au/Pages/TrainingDocs.aspx?q=88a61002-9a21-4386-aaf8-69c76e675272</w:t>
      </w:r>
      <w:r>
        <w:fldChar w:fldCharType="end"/>
      </w:r>
    </w:p>
    <w:p w:rsidR="00000000" w:rsidRPr="008518B6" w:rsidP="008518B6"/>
    <w:sectPr w:rsidSect="008518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B6" w:rsidRPr="00EB7E62" w:rsidP="00EB7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62" w:rsidP="008518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7E62" w:rsidP="008518B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B7E62" w:rsidP="008518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8B6" w:rsidRPr="00EB7E62" w:rsidP="00EB7E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62" w:rsidRPr="002D2AF8" w:rsidP="008518B6">
    <w:pPr>
      <w:pStyle w:val="Header"/>
      <w:framePr w:wrap="around"/>
    </w:pPr>
    <w:r>
      <w:fldChar w:fldCharType="begin"/>
    </w:r>
    <w:r>
      <w:instrText xml:space="preserve"> TITLE   \* MERGEFORMAT </w:instrText>
    </w:r>
    <w:r>
      <w:fldChar w:fldCharType="separate"/>
    </w:r>
    <w:r>
      <w:t>Assessment Requirements for RIIOGD209E Operate and maintain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B7E62" w:rsidP="008518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E44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40E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D4C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8B6"/>
    <w:pPr>
      <w:spacing w:before="360" w:after="60"/>
      <w:outlineLvl w:val="0"/>
    </w:pPr>
    <w:rPr>
      <w:sz w:val="32"/>
    </w:rPr>
  </w:style>
  <w:style w:type="paragraph" w:styleId="Heading2">
    <w:name w:val="heading 2"/>
    <w:basedOn w:val="HeadingBase"/>
    <w:next w:val="BodyText"/>
    <w:link w:val="Heading2Char"/>
    <w:qFormat/>
    <w:rsid w:val="008518B6"/>
    <w:pPr>
      <w:keepLines/>
      <w:spacing w:before="240" w:after="120"/>
      <w:outlineLvl w:val="1"/>
    </w:pPr>
    <w:rPr>
      <w:sz w:val="28"/>
      <w:szCs w:val="40"/>
    </w:rPr>
  </w:style>
  <w:style w:type="paragraph" w:styleId="Heading3">
    <w:name w:val="heading 3"/>
    <w:basedOn w:val="HeadingBase"/>
    <w:next w:val="BodyText"/>
    <w:link w:val="Heading3Char"/>
    <w:qFormat/>
    <w:rsid w:val="008518B6"/>
    <w:pPr>
      <w:spacing w:before="180" w:after="120"/>
      <w:outlineLvl w:val="2"/>
    </w:pPr>
    <w:rPr>
      <w:spacing w:val="-10"/>
      <w:kern w:val="32"/>
    </w:rPr>
  </w:style>
  <w:style w:type="paragraph" w:styleId="Heading4">
    <w:name w:val="heading 4"/>
    <w:basedOn w:val="HeadingBase"/>
    <w:next w:val="BodyText"/>
    <w:link w:val="Heading4Char"/>
    <w:qFormat/>
    <w:rsid w:val="008518B6"/>
    <w:pPr>
      <w:spacing w:before="160" w:after="120"/>
      <w:outlineLvl w:val="3"/>
    </w:pPr>
    <w:rPr>
      <w:sz w:val="22"/>
    </w:rPr>
  </w:style>
  <w:style w:type="paragraph" w:styleId="Heading5">
    <w:name w:val="heading 5"/>
    <w:basedOn w:val="HeadingBase"/>
    <w:next w:val="Normal"/>
    <w:link w:val="Heading5Char"/>
    <w:qFormat/>
    <w:rsid w:val="008518B6"/>
    <w:pPr>
      <w:spacing w:before="80"/>
      <w:outlineLvl w:val="4"/>
    </w:pPr>
    <w:rPr>
      <w:color w:val="918585"/>
      <w:sz w:val="20"/>
    </w:rPr>
  </w:style>
  <w:style w:type="paragraph" w:styleId="Heading6">
    <w:name w:val="heading 6"/>
    <w:basedOn w:val="HeadingBase"/>
    <w:next w:val="Normal"/>
    <w:link w:val="Heading6Char"/>
    <w:qFormat/>
    <w:rsid w:val="008518B6"/>
    <w:pPr>
      <w:spacing w:before="60"/>
      <w:outlineLvl w:val="5"/>
    </w:pPr>
    <w:rPr>
      <w:color w:val="918585"/>
      <w:sz w:val="20"/>
    </w:rPr>
  </w:style>
  <w:style w:type="paragraph" w:styleId="Heading7">
    <w:name w:val="heading 7"/>
    <w:basedOn w:val="Normal"/>
    <w:next w:val="Normal"/>
    <w:link w:val="Heading7Char"/>
    <w:qFormat/>
    <w:rsid w:val="008518B6"/>
    <w:pPr>
      <w:ind w:left="720"/>
      <w:outlineLvl w:val="6"/>
    </w:pPr>
    <w:rPr>
      <w:i/>
    </w:rPr>
  </w:style>
  <w:style w:type="paragraph" w:styleId="Heading8">
    <w:name w:val="heading 8"/>
    <w:basedOn w:val="Normal"/>
    <w:next w:val="Normal"/>
    <w:link w:val="Heading8Char"/>
    <w:qFormat/>
    <w:rsid w:val="008518B6"/>
    <w:pPr>
      <w:ind w:left="720"/>
      <w:outlineLvl w:val="7"/>
    </w:pPr>
    <w:rPr>
      <w:i/>
    </w:rPr>
  </w:style>
  <w:style w:type="paragraph" w:styleId="Heading9">
    <w:name w:val="heading 9"/>
    <w:basedOn w:val="Normal"/>
    <w:next w:val="Normal"/>
    <w:link w:val="Heading9Char"/>
    <w:qFormat/>
    <w:rsid w:val="008518B6"/>
    <w:pPr>
      <w:ind w:left="720"/>
      <w:outlineLvl w:val="8"/>
    </w:pPr>
    <w:rPr>
      <w:i/>
    </w:rPr>
  </w:style>
  <w:style w:type="character" w:default="1" w:styleId="DefaultParagraphFont">
    <w:name w:val="Default Paragraph Font"/>
    <w:uiPriority w:val="1"/>
    <w:unhideWhenUsed/>
    <w:rsid w:val="008518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8B6"/>
  </w:style>
  <w:style w:type="character" w:customStyle="1" w:styleId="Heading1Char">
    <w:name w:val="Heading 1 Char"/>
    <w:basedOn w:val="DefaultParagraphFont"/>
    <w:link w:val="Heading1"/>
    <w:rsid w:val="008518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518B6"/>
    <w:rPr>
      <w:rFonts w:ascii="Times New Roman" w:eastAsia="Times New Roman" w:hAnsi="Times New Roman" w:cs="Times New Roman"/>
      <w:b/>
      <w:szCs w:val="20"/>
      <w:lang w:eastAsia="en-US"/>
    </w:rPr>
  </w:style>
  <w:style w:type="paragraph" w:styleId="BodyText">
    <w:name w:val="Body Text"/>
    <w:basedOn w:val="Normal"/>
    <w:link w:val="BodyTextChar"/>
    <w:rsid w:val="008518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8B6"/>
    <w:rPr>
      <w:rFonts w:ascii="Times New Roman" w:eastAsia="Times New Roman" w:hAnsi="Times New Roman" w:cs="Times New Roman"/>
      <w:sz w:val="24"/>
      <w:lang w:eastAsia="en-US"/>
    </w:rPr>
  </w:style>
  <w:style w:type="paragraph" w:styleId="ListBullet">
    <w:name w:val="List Bullet"/>
    <w:basedOn w:val="List"/>
    <w:rsid w:val="008518B6"/>
    <w:pPr>
      <w:numPr>
        <w:numId w:val="13"/>
      </w:numPr>
      <w:tabs>
        <w:tab w:val="clear" w:pos="340"/>
      </w:tabs>
      <w:spacing w:before="40" w:after="40"/>
    </w:pPr>
  </w:style>
  <w:style w:type="paragraph" w:styleId="ListBullet2">
    <w:name w:val="List Bullet 2"/>
    <w:basedOn w:val="List2"/>
    <w:rsid w:val="008518B6"/>
    <w:pPr>
      <w:numPr>
        <w:numId w:val="14"/>
      </w:numPr>
      <w:tabs>
        <w:tab w:val="clear" w:pos="680"/>
      </w:tabs>
    </w:pPr>
  </w:style>
  <w:style w:type="paragraph" w:customStyle="1" w:styleId="SuperHeading">
    <w:name w:val="SuperHeading"/>
    <w:basedOn w:val="Normal"/>
    <w:rsid w:val="008518B6"/>
    <w:pPr>
      <w:spacing w:before="240" w:after="120"/>
      <w:outlineLvl w:val="0"/>
    </w:pPr>
    <w:rPr>
      <w:rFonts w:ascii="Times New Roman" w:hAnsi="Times New Roman"/>
      <w:b/>
      <w:sz w:val="32"/>
    </w:rPr>
  </w:style>
  <w:style w:type="paragraph" w:customStyle="1" w:styleId="AllowPageBreak">
    <w:name w:val="AllowPageBreak"/>
    <w:rsid w:val="008518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18B6"/>
    <w:pPr>
      <w:numPr>
        <w:numId w:val="3"/>
      </w:numPr>
      <w:tabs>
        <w:tab w:val="clear" w:pos="1021"/>
      </w:tabs>
      <w:ind w:left="1037" w:hanging="357"/>
    </w:pPr>
  </w:style>
  <w:style w:type="character" w:customStyle="1" w:styleId="Heading2Char">
    <w:name w:val="Heading 2 Char"/>
    <w:basedOn w:val="DefaultParagraphFont"/>
    <w:link w:val="Heading2"/>
    <w:rsid w:val="008518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8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518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8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8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8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8B6"/>
    <w:rPr>
      <w:rFonts w:ascii="Courier New" w:eastAsia="Times New Roman" w:hAnsi="Courier New" w:cs="Times New Roman"/>
      <w:i/>
      <w:szCs w:val="20"/>
      <w:lang w:eastAsia="en-US"/>
    </w:rPr>
  </w:style>
  <w:style w:type="paragraph" w:customStyle="1" w:styleId="HeadingBase">
    <w:name w:val="Heading Base"/>
    <w:rsid w:val="008518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8B6"/>
    <w:pPr>
      <w:tabs>
        <w:tab w:val="right" w:leader="dot" w:pos="9072"/>
      </w:tabs>
      <w:ind w:left="567"/>
    </w:pPr>
    <w:rPr>
      <w:szCs w:val="22"/>
    </w:rPr>
  </w:style>
  <w:style w:type="paragraph" w:customStyle="1" w:styleId="TOCBase">
    <w:name w:val="TOC Base"/>
    <w:rsid w:val="008518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8B6"/>
    <w:pPr>
      <w:tabs>
        <w:tab w:val="right" w:leader="dot" w:pos="9072"/>
      </w:tabs>
      <w:spacing w:before="40" w:after="40"/>
      <w:ind w:left="284"/>
    </w:pPr>
    <w:rPr>
      <w:rFonts w:ascii="Times New Roman" w:hAnsi="Times New Roman"/>
    </w:rPr>
  </w:style>
  <w:style w:type="paragraph" w:styleId="TOC1">
    <w:name w:val="toc 1"/>
    <w:basedOn w:val="TOCBase"/>
    <w:next w:val="Normal"/>
    <w:rsid w:val="008518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8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8B6"/>
    <w:rPr>
      <w:rFonts w:ascii="Times New Roman" w:eastAsia="Times New Roman" w:hAnsi="Times New Roman" w:cs="Times New Roman"/>
      <w:sz w:val="16"/>
      <w:lang w:eastAsia="en-US"/>
    </w:rPr>
  </w:style>
  <w:style w:type="paragraph" w:styleId="Title">
    <w:name w:val="Title"/>
    <w:basedOn w:val="HeadingBase"/>
    <w:link w:val="TitleChar"/>
    <w:qFormat/>
    <w:rsid w:val="008518B6"/>
    <w:pPr>
      <w:spacing w:before="5040"/>
      <w:jc w:val="center"/>
    </w:pPr>
    <w:rPr>
      <w:sz w:val="48"/>
      <w:szCs w:val="72"/>
      <w:lang w:val="en-US"/>
    </w:rPr>
  </w:style>
  <w:style w:type="character" w:customStyle="1" w:styleId="TitleChar">
    <w:name w:val="Title Char"/>
    <w:basedOn w:val="DefaultParagraphFont"/>
    <w:link w:val="Title"/>
    <w:rsid w:val="008518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8B6"/>
    <w:pPr>
      <w:tabs>
        <w:tab w:val="left" w:pos="3600"/>
        <w:tab w:val="left" w:pos="3958"/>
      </w:tabs>
    </w:pPr>
  </w:style>
  <w:style w:type="paragraph" w:styleId="List">
    <w:name w:val="List"/>
    <w:basedOn w:val="BodyText"/>
    <w:next w:val="BodyText"/>
    <w:rsid w:val="008518B6"/>
    <w:pPr>
      <w:tabs>
        <w:tab w:val="left" w:pos="340"/>
      </w:tabs>
      <w:spacing w:before="60" w:after="60"/>
      <w:ind w:left="340" w:hanging="340"/>
    </w:pPr>
  </w:style>
  <w:style w:type="paragraph" w:customStyle="1" w:styleId="Note">
    <w:name w:val="Note"/>
    <w:basedOn w:val="BodyText"/>
    <w:rsid w:val="008518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18B6"/>
    <w:rPr>
      <w:b/>
      <w:spacing w:val="0"/>
    </w:rPr>
  </w:style>
  <w:style w:type="paragraph" w:customStyle="1" w:styleId="SuperTitle">
    <w:name w:val="SuperTitle"/>
    <w:basedOn w:val="Title"/>
    <w:rsid w:val="008518B6"/>
    <w:pPr>
      <w:framePr w:wrap="auto" w:hAnchor="text" w:y="6049"/>
    </w:pPr>
    <w:rPr>
      <w:color w:val="000000"/>
      <w:sz w:val="40"/>
    </w:rPr>
  </w:style>
  <w:style w:type="paragraph" w:customStyle="1" w:styleId="TOCTitle">
    <w:name w:val="TOCTitle"/>
    <w:basedOn w:val="Heading1"/>
    <w:rsid w:val="008518B6"/>
    <w:pPr>
      <w:spacing w:after="240"/>
      <w:jc w:val="center"/>
      <w:outlineLvl w:val="9"/>
    </w:pPr>
    <w:rPr>
      <w:caps/>
    </w:rPr>
  </w:style>
  <w:style w:type="paragraph" w:customStyle="1" w:styleId="Version">
    <w:name w:val="Version"/>
    <w:rsid w:val="008518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8B6"/>
    <w:pPr>
      <w:keepNext w:val="0"/>
      <w:tabs>
        <w:tab w:val="right" w:pos="4176"/>
      </w:tabs>
      <w:ind w:left="198" w:hanging="198"/>
    </w:pPr>
    <w:rPr>
      <w:rFonts w:ascii="Garamond" w:hAnsi="Garamond"/>
    </w:rPr>
  </w:style>
  <w:style w:type="paragraph" w:styleId="IndexHeading">
    <w:name w:val="index heading"/>
    <w:basedOn w:val="Normal"/>
    <w:next w:val="Index1"/>
    <w:semiHidden/>
    <w:rsid w:val="008518B6"/>
    <w:pPr>
      <w:spacing w:before="120" w:after="120"/>
    </w:pPr>
    <w:rPr>
      <w:rFonts w:ascii="Arial" w:hAnsi="Arial"/>
      <w:b/>
      <w:color w:val="918585"/>
      <w:sz w:val="24"/>
    </w:rPr>
  </w:style>
  <w:style w:type="paragraph" w:styleId="Header">
    <w:name w:val="header"/>
    <w:basedOn w:val="Normal"/>
    <w:link w:val="HeaderChar"/>
    <w:rsid w:val="008518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8B6"/>
    <w:rPr>
      <w:rFonts w:ascii="Times New Roman" w:eastAsia="Times New Roman" w:hAnsi="Times New Roman" w:cs="Times New Roman"/>
      <w:sz w:val="16"/>
      <w:szCs w:val="20"/>
      <w:lang w:val="en-GB" w:eastAsia="en-US"/>
    </w:rPr>
  </w:style>
  <w:style w:type="paragraph" w:customStyle="1" w:styleId="Chapter">
    <w:name w:val="Chapter"/>
    <w:basedOn w:val="Normal"/>
    <w:rsid w:val="008518B6"/>
    <w:pPr>
      <w:spacing w:before="240"/>
    </w:pPr>
    <w:rPr>
      <w:rFonts w:ascii="Times New Roman" w:hAnsi="Times New Roman"/>
      <w:smallCaps/>
      <w:spacing w:val="80"/>
      <w:sz w:val="28"/>
    </w:rPr>
  </w:style>
  <w:style w:type="paragraph" w:customStyle="1" w:styleId="InChapter">
    <w:name w:val="InChapter"/>
    <w:basedOn w:val="Heading3"/>
    <w:rsid w:val="008518B6"/>
    <w:pPr>
      <w:spacing w:after="240"/>
      <w:outlineLvl w:val="9"/>
    </w:pPr>
    <w:rPr>
      <w:noProof/>
    </w:rPr>
  </w:style>
  <w:style w:type="paragraph" w:styleId="Index2">
    <w:name w:val="index 2"/>
    <w:basedOn w:val="Normal"/>
    <w:next w:val="Normal"/>
    <w:semiHidden/>
    <w:rsid w:val="008518B6"/>
    <w:pPr>
      <w:tabs>
        <w:tab w:val="right" w:pos="4176"/>
      </w:tabs>
      <w:ind w:left="568" w:hanging="284"/>
    </w:pPr>
    <w:rPr>
      <w:rFonts w:ascii="Garamond" w:hAnsi="Garamond"/>
    </w:rPr>
  </w:style>
  <w:style w:type="paragraph" w:customStyle="1" w:styleId="Byline">
    <w:name w:val="Byline"/>
    <w:rsid w:val="008518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8B6"/>
    <w:pPr>
      <w:tabs>
        <w:tab w:val="clear" w:pos="3600"/>
        <w:tab w:val="clear" w:pos="3958"/>
      </w:tabs>
      <w:jc w:val="right"/>
    </w:pPr>
  </w:style>
  <w:style w:type="character" w:styleId="Emphasis">
    <w:name w:val="Emphasis"/>
    <w:basedOn w:val="DefaultParagraphFont"/>
    <w:qFormat/>
    <w:rsid w:val="008518B6"/>
    <w:rPr>
      <w:i/>
    </w:rPr>
  </w:style>
  <w:style w:type="paragraph" w:styleId="Caption">
    <w:name w:val="caption"/>
    <w:basedOn w:val="BodyText"/>
    <w:next w:val="Normal"/>
    <w:qFormat/>
    <w:rsid w:val="008518B6"/>
    <w:pPr>
      <w:framePr w:w="2268" w:hSpace="181" w:vSpace="181" w:wrap="around" w:vAnchor="text" w:hAnchor="page" w:x="1135" w:y="285" w:anchorLock="1"/>
    </w:pPr>
    <w:rPr>
      <w:i/>
    </w:rPr>
  </w:style>
  <w:style w:type="paragraph" w:customStyle="1" w:styleId="MiniTOCTitle">
    <w:name w:val="MiniTOCTitle"/>
    <w:basedOn w:val="Heading4"/>
    <w:rsid w:val="008518B6"/>
    <w:pPr>
      <w:spacing w:before="240"/>
      <w:outlineLvl w:val="9"/>
    </w:pPr>
    <w:rPr>
      <w:noProof/>
      <w:sz w:val="24"/>
    </w:rPr>
  </w:style>
  <w:style w:type="paragraph" w:customStyle="1" w:styleId="MiniTOCItem">
    <w:name w:val="MiniTOCItem"/>
    <w:basedOn w:val="ListBullet"/>
    <w:rsid w:val="008518B6"/>
    <w:pPr>
      <w:numPr>
        <w:numId w:val="0"/>
      </w:numPr>
      <w:tabs>
        <w:tab w:val="right" w:leader="dot" w:pos="6521"/>
      </w:tabs>
      <w:spacing w:before="0" w:after="0"/>
    </w:pPr>
  </w:style>
  <w:style w:type="paragraph" w:customStyle="1" w:styleId="TOFTitle">
    <w:name w:val="TOFTitle"/>
    <w:basedOn w:val="TOCTitle"/>
    <w:rsid w:val="008518B6"/>
  </w:style>
  <w:style w:type="paragraph" w:styleId="TableofFigures">
    <w:name w:val="table of figures"/>
    <w:basedOn w:val="Normal"/>
    <w:next w:val="Normal"/>
    <w:semiHidden/>
    <w:rsid w:val="008518B6"/>
    <w:pPr>
      <w:tabs>
        <w:tab w:val="right" w:leader="dot" w:pos="9072"/>
      </w:tabs>
      <w:ind w:left="970" w:hanging="403"/>
    </w:pPr>
    <w:rPr>
      <w:rFonts w:ascii="Times New Roman" w:hAnsi="Times New Roman"/>
      <w:b/>
    </w:rPr>
  </w:style>
  <w:style w:type="paragraph" w:styleId="ListNumber">
    <w:name w:val="List Number"/>
    <w:basedOn w:val="List"/>
    <w:rsid w:val="008518B6"/>
    <w:pPr>
      <w:numPr>
        <w:numId w:val="16"/>
      </w:numPr>
      <w:tabs>
        <w:tab w:val="clear" w:pos="340"/>
      </w:tabs>
    </w:pPr>
  </w:style>
  <w:style w:type="character" w:customStyle="1" w:styleId="WingdingSymbols">
    <w:name w:val="Wingding Symbols"/>
    <w:rsid w:val="008518B6"/>
    <w:rPr>
      <w:rFonts w:ascii="Wingdings" w:hAnsi="Wingdings"/>
    </w:rPr>
  </w:style>
  <w:style w:type="paragraph" w:customStyle="1" w:styleId="TableHeading">
    <w:name w:val="Table Heading"/>
    <w:basedOn w:val="HeadingBase"/>
    <w:rsid w:val="008518B6"/>
    <w:pPr>
      <w:keepLines/>
      <w:pBdr>
        <w:bottom w:val="single" w:sz="6" w:space="1" w:color="918585"/>
      </w:pBdr>
      <w:spacing w:before="240"/>
    </w:pPr>
  </w:style>
  <w:style w:type="character" w:customStyle="1" w:styleId="HotSpot">
    <w:name w:val="HotSpot"/>
    <w:rsid w:val="008518B6"/>
    <w:rPr>
      <w:color w:val="0033CC"/>
      <w:u w:val="none"/>
    </w:rPr>
  </w:style>
  <w:style w:type="paragraph" w:customStyle="1" w:styleId="BodyTextRight">
    <w:name w:val="Body Text Right"/>
    <w:basedOn w:val="BodyText"/>
    <w:rsid w:val="008518B6"/>
    <w:pPr>
      <w:spacing w:before="0" w:after="0"/>
      <w:jc w:val="right"/>
    </w:pPr>
  </w:style>
  <w:style w:type="paragraph" w:styleId="Index3">
    <w:name w:val="index 3"/>
    <w:basedOn w:val="ListNumber2"/>
    <w:next w:val="Normal"/>
    <w:semiHidden/>
    <w:rsid w:val="008518B6"/>
    <w:pPr>
      <w:numPr>
        <w:numId w:val="0"/>
      </w:numPr>
      <w:tabs>
        <w:tab w:val="right" w:leader="dot" w:pos="4176"/>
      </w:tabs>
    </w:pPr>
  </w:style>
  <w:style w:type="paragraph" w:styleId="ListNumber2">
    <w:name w:val="List Number 2"/>
    <w:basedOn w:val="List2"/>
    <w:rsid w:val="008518B6"/>
    <w:pPr>
      <w:numPr>
        <w:numId w:val="11"/>
      </w:numPr>
      <w:tabs>
        <w:tab w:val="clear" w:pos="1060"/>
      </w:tabs>
    </w:pPr>
  </w:style>
  <w:style w:type="paragraph" w:customStyle="1" w:styleId="MarginNote">
    <w:name w:val="Margin Note"/>
    <w:basedOn w:val="BodyText"/>
    <w:rsid w:val="008518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8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8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8B6"/>
    <w:rPr>
      <w:sz w:val="32"/>
    </w:rPr>
  </w:style>
  <w:style w:type="paragraph" w:customStyle="1" w:styleId="HeadingProcedure">
    <w:name w:val="Heading Procedure"/>
    <w:basedOn w:val="HeadingBase"/>
    <w:next w:val="Normal"/>
    <w:rsid w:val="008518B6"/>
    <w:pPr>
      <w:tabs>
        <w:tab w:val="left" w:pos="0"/>
      </w:tabs>
      <w:spacing w:before="120" w:after="60"/>
    </w:pPr>
    <w:rPr>
      <w:i/>
      <w:color w:val="918585"/>
      <w:sz w:val="22"/>
    </w:rPr>
  </w:style>
  <w:style w:type="paragraph" w:customStyle="1" w:styleId="TableBodyText">
    <w:name w:val="Table Body Text"/>
    <w:basedOn w:val="BodyText"/>
    <w:rsid w:val="008518B6"/>
    <w:pPr>
      <w:spacing w:before="60" w:after="60"/>
    </w:pPr>
  </w:style>
  <w:style w:type="paragraph" w:styleId="ListContinue">
    <w:name w:val="List Continue"/>
    <w:basedOn w:val="List"/>
    <w:rsid w:val="008518B6"/>
    <w:pPr>
      <w:ind w:firstLine="0"/>
    </w:pPr>
  </w:style>
  <w:style w:type="paragraph" w:customStyle="1" w:styleId="ListNote">
    <w:name w:val="List Note"/>
    <w:basedOn w:val="List"/>
    <w:rsid w:val="008518B6"/>
    <w:pPr>
      <w:pBdr>
        <w:top w:val="single" w:sz="6" w:space="2" w:color="918585"/>
        <w:bottom w:val="single" w:sz="6" w:space="2" w:color="918585"/>
      </w:pBdr>
      <w:tabs>
        <w:tab w:val="left" w:pos="1021"/>
      </w:tabs>
      <w:ind w:firstLine="0"/>
    </w:pPr>
  </w:style>
  <w:style w:type="paragraph" w:customStyle="1" w:styleId="Warning">
    <w:name w:val="Warning"/>
    <w:basedOn w:val="BodyText"/>
    <w:rsid w:val="008518B6"/>
    <w:pPr>
      <w:shd w:val="clear" w:color="auto" w:fill="D9D9D9"/>
      <w:tabs>
        <w:tab w:val="left" w:pos="992"/>
      </w:tabs>
      <w:ind w:left="119" w:right="119"/>
    </w:pPr>
    <w:rPr>
      <w:sz w:val="20"/>
    </w:rPr>
  </w:style>
  <w:style w:type="paragraph" w:customStyle="1" w:styleId="MarginIcons">
    <w:name w:val="Margin Icons"/>
    <w:basedOn w:val="BodyText"/>
    <w:rsid w:val="008518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8B6"/>
    <w:rPr>
      <w:rFonts w:ascii="Courier New" w:hAnsi="Courier New"/>
    </w:rPr>
  </w:style>
  <w:style w:type="paragraph" w:customStyle="1" w:styleId="NoteBullet">
    <w:name w:val="Note Bullet"/>
    <w:basedOn w:val="Note"/>
    <w:rsid w:val="008518B6"/>
    <w:pPr>
      <w:tabs>
        <w:tab w:val="clear" w:pos="680"/>
      </w:tabs>
      <w:spacing w:before="60" w:after="60"/>
    </w:pPr>
  </w:style>
  <w:style w:type="paragraph" w:customStyle="1" w:styleId="SubHeading2">
    <w:name w:val="SubHeading2"/>
    <w:basedOn w:val="HeadingBase"/>
    <w:rsid w:val="008518B6"/>
    <w:pPr>
      <w:spacing w:before="240" w:after="60"/>
    </w:pPr>
    <w:rPr>
      <w:sz w:val="20"/>
    </w:rPr>
  </w:style>
  <w:style w:type="paragraph" w:customStyle="1" w:styleId="SubHeading1">
    <w:name w:val="SubHeading1"/>
    <w:basedOn w:val="HeadingBase"/>
    <w:rsid w:val="008518B6"/>
    <w:pPr>
      <w:spacing w:before="240" w:after="60"/>
    </w:pPr>
    <w:rPr>
      <w:color w:val="918585"/>
      <w:sz w:val="22"/>
    </w:rPr>
  </w:style>
  <w:style w:type="paragraph" w:customStyle="1" w:styleId="SideHeading">
    <w:name w:val="Side Heading"/>
    <w:basedOn w:val="HeadingBase"/>
    <w:rsid w:val="008518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8B6"/>
    <w:pPr>
      <w:numPr>
        <w:numId w:val="12"/>
      </w:numPr>
    </w:pPr>
  </w:style>
  <w:style w:type="paragraph" w:styleId="PlainText">
    <w:name w:val="Plain Text"/>
    <w:basedOn w:val="Normal"/>
    <w:link w:val="PlainTextChar"/>
    <w:rsid w:val="008518B6"/>
    <w:rPr>
      <w:sz w:val="20"/>
    </w:rPr>
  </w:style>
  <w:style w:type="character" w:customStyle="1" w:styleId="PlainTextChar">
    <w:name w:val="Plain Text Char"/>
    <w:basedOn w:val="DefaultParagraphFont"/>
    <w:link w:val="PlainText"/>
    <w:rsid w:val="008518B6"/>
    <w:rPr>
      <w:rFonts w:ascii="Courier New" w:eastAsia="Times New Roman" w:hAnsi="Courier New" w:cs="Times New Roman"/>
      <w:sz w:val="20"/>
      <w:szCs w:val="20"/>
      <w:lang w:eastAsia="en-US"/>
    </w:rPr>
  </w:style>
  <w:style w:type="character" w:customStyle="1" w:styleId="MenuOption">
    <w:name w:val="Menu Option"/>
    <w:basedOn w:val="DefaultParagraphFont"/>
    <w:rsid w:val="008518B6"/>
    <w:rPr>
      <w:b/>
      <w:smallCaps/>
    </w:rPr>
  </w:style>
  <w:style w:type="paragraph" w:customStyle="1" w:styleId="TableListNumber">
    <w:name w:val="Table List Number"/>
    <w:basedOn w:val="ListNumber"/>
    <w:rsid w:val="008518B6"/>
    <w:pPr>
      <w:numPr>
        <w:numId w:val="0"/>
      </w:numPr>
    </w:pPr>
  </w:style>
  <w:style w:type="paragraph" w:styleId="TOC4">
    <w:name w:val="toc 4"/>
    <w:basedOn w:val="TOCBase"/>
    <w:next w:val="Normal"/>
    <w:semiHidden/>
    <w:rsid w:val="008518B6"/>
    <w:pPr>
      <w:tabs>
        <w:tab w:val="right" w:leader="dot" w:pos="9071"/>
      </w:tabs>
      <w:ind w:left="1701"/>
    </w:pPr>
  </w:style>
  <w:style w:type="paragraph" w:customStyle="1" w:styleId="ListAlpha">
    <w:name w:val="List Alpha"/>
    <w:basedOn w:val="List"/>
    <w:rsid w:val="008518B6"/>
    <w:pPr>
      <w:numPr>
        <w:numId w:val="10"/>
      </w:numPr>
    </w:pPr>
  </w:style>
  <w:style w:type="paragraph" w:customStyle="1" w:styleId="ListAlpha2">
    <w:name w:val="List Alpha 2"/>
    <w:basedOn w:val="List2"/>
    <w:rsid w:val="008518B6"/>
    <w:pPr>
      <w:numPr>
        <w:numId w:val="9"/>
      </w:numPr>
    </w:pPr>
  </w:style>
  <w:style w:type="paragraph" w:styleId="List2">
    <w:name w:val="List 2"/>
    <w:basedOn w:val="BodyText"/>
    <w:rsid w:val="008518B6"/>
    <w:pPr>
      <w:tabs>
        <w:tab w:val="left" w:pos="680"/>
      </w:tabs>
      <w:spacing w:before="60" w:after="60"/>
      <w:ind w:left="680" w:hanging="340"/>
    </w:pPr>
  </w:style>
  <w:style w:type="paragraph" w:styleId="List3">
    <w:name w:val="List 3"/>
    <w:basedOn w:val="BodyText"/>
    <w:rsid w:val="008518B6"/>
    <w:pPr>
      <w:tabs>
        <w:tab w:val="left" w:pos="1021"/>
      </w:tabs>
      <w:spacing w:before="60" w:after="60"/>
      <w:ind w:left="1020" w:hanging="340"/>
    </w:pPr>
  </w:style>
  <w:style w:type="paragraph" w:styleId="List4">
    <w:name w:val="List 4"/>
    <w:basedOn w:val="BodyText"/>
    <w:rsid w:val="008518B6"/>
    <w:pPr>
      <w:tabs>
        <w:tab w:val="left" w:pos="1361"/>
      </w:tabs>
      <w:spacing w:before="60" w:after="60"/>
      <w:ind w:left="1361" w:hanging="340"/>
    </w:pPr>
  </w:style>
  <w:style w:type="paragraph" w:styleId="List5">
    <w:name w:val="List 5"/>
    <w:basedOn w:val="BodyText"/>
    <w:rsid w:val="008518B6"/>
    <w:pPr>
      <w:tabs>
        <w:tab w:val="left" w:pos="1701"/>
      </w:tabs>
      <w:spacing w:before="60" w:after="60"/>
      <w:ind w:left="1701" w:hanging="340"/>
    </w:pPr>
  </w:style>
  <w:style w:type="paragraph" w:styleId="ListBullet4">
    <w:name w:val="List Bullet 4"/>
    <w:basedOn w:val="List4"/>
    <w:rsid w:val="008518B6"/>
    <w:pPr>
      <w:numPr>
        <w:numId w:val="4"/>
      </w:numPr>
      <w:tabs>
        <w:tab w:val="clear" w:pos="1361"/>
      </w:tabs>
    </w:pPr>
  </w:style>
  <w:style w:type="paragraph" w:styleId="ListBullet5">
    <w:name w:val="List Bullet 5"/>
    <w:basedOn w:val="List5"/>
    <w:rsid w:val="008518B6"/>
    <w:pPr>
      <w:numPr>
        <w:numId w:val="5"/>
      </w:numPr>
    </w:pPr>
  </w:style>
  <w:style w:type="paragraph" w:styleId="ListContinue2">
    <w:name w:val="List Continue 2"/>
    <w:basedOn w:val="List2"/>
    <w:rsid w:val="008518B6"/>
    <w:pPr>
      <w:ind w:firstLine="0"/>
    </w:pPr>
  </w:style>
  <w:style w:type="paragraph" w:styleId="ListContinue3">
    <w:name w:val="List Continue 3"/>
    <w:basedOn w:val="List3"/>
    <w:rsid w:val="008518B6"/>
    <w:pPr>
      <w:ind w:left="1021" w:firstLine="0"/>
    </w:pPr>
  </w:style>
  <w:style w:type="paragraph" w:styleId="ListContinue4">
    <w:name w:val="List Continue 4"/>
    <w:basedOn w:val="List4"/>
    <w:rsid w:val="008518B6"/>
    <w:pPr>
      <w:ind w:firstLine="0"/>
    </w:pPr>
  </w:style>
  <w:style w:type="paragraph" w:styleId="ListContinue5">
    <w:name w:val="List Continue 5"/>
    <w:basedOn w:val="List5"/>
    <w:rsid w:val="008518B6"/>
    <w:pPr>
      <w:ind w:firstLine="0"/>
    </w:pPr>
  </w:style>
  <w:style w:type="paragraph" w:styleId="ListNumber3">
    <w:name w:val="List Number 3"/>
    <w:basedOn w:val="List3"/>
    <w:rsid w:val="008518B6"/>
    <w:pPr>
      <w:numPr>
        <w:numId w:val="6"/>
      </w:numPr>
    </w:pPr>
  </w:style>
  <w:style w:type="paragraph" w:styleId="ListNumber4">
    <w:name w:val="List Number 4"/>
    <w:basedOn w:val="List4"/>
    <w:rsid w:val="008518B6"/>
    <w:pPr>
      <w:numPr>
        <w:numId w:val="7"/>
      </w:numPr>
    </w:pPr>
  </w:style>
  <w:style w:type="paragraph" w:styleId="ListNumber5">
    <w:name w:val="List Number 5"/>
    <w:basedOn w:val="List5"/>
    <w:rsid w:val="008518B6"/>
    <w:pPr>
      <w:numPr>
        <w:numId w:val="8"/>
      </w:numPr>
    </w:pPr>
  </w:style>
  <w:style w:type="paragraph" w:styleId="BlockText">
    <w:name w:val="Block Text"/>
    <w:basedOn w:val="Normal"/>
    <w:rsid w:val="008518B6"/>
    <w:pPr>
      <w:spacing w:after="120"/>
      <w:ind w:left="1440" w:right="1440"/>
    </w:pPr>
  </w:style>
  <w:style w:type="character" w:customStyle="1" w:styleId="Subscript">
    <w:name w:val="Subscript"/>
    <w:basedOn w:val="DefaultParagraphFont"/>
    <w:rsid w:val="008518B6"/>
    <w:rPr>
      <w:sz w:val="16"/>
      <w:vertAlign w:val="subscript"/>
    </w:rPr>
  </w:style>
  <w:style w:type="character" w:customStyle="1" w:styleId="Superscript">
    <w:name w:val="Superscript"/>
    <w:basedOn w:val="DefaultParagraphFont"/>
    <w:rsid w:val="008518B6"/>
    <w:rPr>
      <w:sz w:val="16"/>
      <w:vertAlign w:val="superscript"/>
    </w:rPr>
  </w:style>
  <w:style w:type="character" w:customStyle="1" w:styleId="Symbols">
    <w:name w:val="Symbols"/>
    <w:basedOn w:val="DefaultParagraphFont"/>
    <w:rsid w:val="008518B6"/>
    <w:rPr>
      <w:rFonts w:ascii="Symbol" w:hAnsi="Symbol"/>
    </w:rPr>
  </w:style>
  <w:style w:type="character" w:customStyle="1" w:styleId="MenuOptions">
    <w:name w:val="Menu Options"/>
    <w:basedOn w:val="DefaultParagraphFont"/>
    <w:rsid w:val="008518B6"/>
    <w:rPr>
      <w:rFonts w:ascii="Arial Narrow" w:hAnsi="Arial Narrow"/>
      <w:smallCaps/>
    </w:rPr>
  </w:style>
  <w:style w:type="character" w:customStyle="1" w:styleId="Buttons">
    <w:name w:val="Buttons"/>
    <w:basedOn w:val="DefaultParagraphFont"/>
    <w:rsid w:val="008518B6"/>
    <w:rPr>
      <w:b/>
    </w:rPr>
  </w:style>
  <w:style w:type="character" w:customStyle="1" w:styleId="Underlined">
    <w:name w:val="Underlined"/>
    <w:basedOn w:val="DefaultParagraphFont"/>
    <w:rsid w:val="008518B6"/>
    <w:rPr>
      <w:u w:val="single"/>
    </w:rPr>
  </w:style>
  <w:style w:type="paragraph" w:customStyle="1" w:styleId="TableBodyTextRight">
    <w:name w:val="Table Body Text Right"/>
    <w:basedOn w:val="TableBodyText"/>
    <w:rsid w:val="008518B6"/>
    <w:pPr>
      <w:widowControl w:val="0"/>
      <w:autoSpaceDE w:val="0"/>
      <w:autoSpaceDN w:val="0"/>
      <w:adjustRightInd w:val="0"/>
      <w:jc w:val="right"/>
    </w:pPr>
    <w:rPr>
      <w:rFonts w:cs="Arial"/>
      <w:szCs w:val="18"/>
    </w:rPr>
  </w:style>
  <w:style w:type="paragraph" w:customStyle="1" w:styleId="CopyrightText">
    <w:name w:val="Copyright Text"/>
    <w:basedOn w:val="BodyText"/>
    <w:rsid w:val="008518B6"/>
    <w:rPr>
      <w:sz w:val="18"/>
    </w:rPr>
  </w:style>
  <w:style w:type="paragraph" w:customStyle="1" w:styleId="BodySmallRight">
    <w:name w:val="Body Small Right"/>
    <w:basedOn w:val="BodyTextRight"/>
    <w:rsid w:val="008518B6"/>
    <w:rPr>
      <w:sz w:val="18"/>
      <w:szCs w:val="18"/>
    </w:rPr>
  </w:style>
  <w:style w:type="paragraph" w:customStyle="1" w:styleId="MarginEdition">
    <w:name w:val="Margin Edition"/>
    <w:basedOn w:val="MarginNote"/>
    <w:rsid w:val="008518B6"/>
    <w:pPr>
      <w:spacing w:before="0" w:after="0"/>
    </w:pPr>
    <w:rPr>
      <w:rFonts w:ascii="Times New Roman" w:hAnsi="Times New Roman"/>
      <w:color w:val="999999"/>
    </w:rPr>
  </w:style>
  <w:style w:type="paragraph" w:customStyle="1" w:styleId="Spacer">
    <w:name w:val="Spacer"/>
    <w:basedOn w:val="Normal"/>
    <w:rsid w:val="008518B6"/>
    <w:rPr>
      <w:sz w:val="2"/>
      <w:szCs w:val="2"/>
    </w:rPr>
  </w:style>
  <w:style w:type="character" w:customStyle="1" w:styleId="Small">
    <w:name w:val="Small"/>
    <w:basedOn w:val="DefaultParagraphFont"/>
    <w:rsid w:val="008518B6"/>
    <w:rPr>
      <w:sz w:val="16"/>
    </w:rPr>
  </w:style>
  <w:style w:type="paragraph" w:customStyle="1" w:styleId="WideTable">
    <w:name w:val="Wide Table"/>
    <w:basedOn w:val="Normal"/>
    <w:rsid w:val="008518B6"/>
    <w:pPr>
      <w:ind w:left="-1418"/>
    </w:pPr>
    <w:rPr>
      <w:sz w:val="2"/>
      <w:szCs w:val="2"/>
    </w:rPr>
  </w:style>
  <w:style w:type="character" w:styleId="PageNumber">
    <w:name w:val="page number"/>
    <w:basedOn w:val="DefaultParagraphFont"/>
    <w:rsid w:val="008518B6"/>
  </w:style>
  <w:style w:type="paragraph" w:styleId="Quote">
    <w:name w:val="Quote"/>
    <w:basedOn w:val="Heading1"/>
    <w:link w:val="QuoteChar"/>
    <w:qFormat/>
    <w:rsid w:val="008518B6"/>
    <w:rPr>
      <w:b w:val="0"/>
      <w:sz w:val="72"/>
      <w:szCs w:val="72"/>
      <w:lang w:val="en-NZ"/>
    </w:rPr>
  </w:style>
  <w:style w:type="character" w:customStyle="1" w:styleId="QuoteChar">
    <w:name w:val="Quote Char"/>
    <w:basedOn w:val="DefaultParagraphFont"/>
    <w:link w:val="Quote"/>
    <w:rsid w:val="008518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8B6"/>
    <w:pPr>
      <w:pageBreakBefore/>
    </w:pPr>
  </w:style>
  <w:style w:type="paragraph" w:customStyle="1" w:styleId="Border">
    <w:name w:val="Border"/>
    <w:basedOn w:val="Normal"/>
    <w:qFormat/>
    <w:rsid w:val="008518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8B6"/>
    <w:rPr>
      <w:b/>
      <w:bCs/>
      <w:i/>
      <w:iCs/>
      <w:color w:val="auto"/>
    </w:rPr>
  </w:style>
  <w:style w:type="paragraph" w:styleId="IntenseQuote">
    <w:name w:val="Intense Quote"/>
    <w:basedOn w:val="Normal"/>
    <w:next w:val="Normal"/>
    <w:link w:val="IntenseQuoteChar"/>
    <w:uiPriority w:val="30"/>
    <w:qFormat/>
    <w:rsid w:val="008518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8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8B6"/>
    <w:rPr>
      <w:smallCaps/>
      <w:color w:val="auto"/>
      <w:u w:val="single"/>
    </w:rPr>
  </w:style>
  <w:style w:type="character" w:styleId="IntenseReference">
    <w:name w:val="Intense Reference"/>
    <w:basedOn w:val="DefaultParagraphFont"/>
    <w:uiPriority w:val="32"/>
    <w:qFormat/>
    <w:rsid w:val="008518B6"/>
    <w:rPr>
      <w:b/>
      <w:bCs/>
      <w:smallCaps/>
      <w:color w:val="auto"/>
      <w:spacing w:val="5"/>
      <w:u w:val="single"/>
    </w:rPr>
  </w:style>
  <w:style w:type="paragraph" w:customStyle="1" w:styleId="2ColumnHeading">
    <w:name w:val="2Column Heading"/>
    <w:basedOn w:val="BodyText"/>
    <w:qFormat/>
    <w:rsid w:val="008518B6"/>
    <w:pPr>
      <w:spacing w:after="60"/>
      <w:ind w:left="-2268"/>
    </w:pPr>
    <w:rPr>
      <w:b/>
    </w:rPr>
  </w:style>
  <w:style w:type="paragraph" w:customStyle="1" w:styleId="Heading1TOC">
    <w:name w:val="Heading1 TOC"/>
    <w:basedOn w:val="Normal"/>
    <w:qFormat/>
    <w:rsid w:val="008518B6"/>
    <w:pPr>
      <w:spacing w:before="240" w:after="120"/>
    </w:pPr>
    <w:rPr>
      <w:rFonts w:ascii="Times New Roman" w:hAnsi="Times New Roman"/>
      <w:b/>
      <w:sz w:val="32"/>
    </w:rPr>
  </w:style>
  <w:style w:type="paragraph" w:customStyle="1" w:styleId="Heading2TOC">
    <w:name w:val="Heading2 TOC"/>
    <w:basedOn w:val="Normal"/>
    <w:qFormat/>
    <w:rsid w:val="008518B6"/>
    <w:pPr>
      <w:spacing w:before="240" w:after="60"/>
    </w:pPr>
    <w:rPr>
      <w:rFonts w:ascii="Times New Roman" w:hAnsi="Times New Roman"/>
      <w:b/>
      <w:sz w:val="28"/>
    </w:rPr>
  </w:style>
  <w:style w:type="character" w:customStyle="1" w:styleId="Underline">
    <w:name w:val="Underline"/>
    <w:basedOn w:val="DefaultParagraphFont"/>
    <w:qFormat/>
    <w:rsid w:val="008518B6"/>
    <w:rPr>
      <w:u w:val="single"/>
    </w:rPr>
  </w:style>
  <w:style w:type="character" w:customStyle="1" w:styleId="BoldandItalics">
    <w:name w:val="Bold and Italics"/>
    <w:qFormat/>
    <w:rsid w:val="008518B6"/>
    <w:rPr>
      <w:b/>
      <w:i/>
      <w:u w:val="none"/>
    </w:rPr>
  </w:style>
  <w:style w:type="paragraph" w:styleId="BalloonText">
    <w:name w:val="Balloon Text"/>
    <w:basedOn w:val="Normal"/>
    <w:link w:val="BalloonTextChar"/>
    <w:rsid w:val="008518B6"/>
    <w:rPr>
      <w:rFonts w:ascii="Tahoma" w:hAnsi="Tahoma" w:cs="Tahoma"/>
      <w:sz w:val="16"/>
      <w:szCs w:val="16"/>
    </w:rPr>
  </w:style>
  <w:style w:type="character" w:customStyle="1" w:styleId="BalloonTextChar">
    <w:name w:val="Balloon Text Char"/>
    <w:basedOn w:val="DefaultParagraphFont"/>
    <w:link w:val="BalloonText"/>
    <w:rsid w:val="008518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8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8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8B6"/>
    <w:rPr>
      <w:b/>
      <w:color w:val="660033"/>
      <w:spacing w:val="0"/>
    </w:rPr>
  </w:style>
  <w:style w:type="paragraph" w:customStyle="1" w:styleId="Nameditemlist">
    <w:name w:val="Named item list"/>
    <w:basedOn w:val="BodyText"/>
    <w:qFormat/>
    <w:rsid w:val="008518B6"/>
    <w:pPr>
      <w:tabs>
        <w:tab w:val="left" w:pos="2835"/>
      </w:tabs>
      <w:ind w:left="2835" w:hanging="2835"/>
    </w:pPr>
  </w:style>
  <w:style w:type="paragraph" w:customStyle="1" w:styleId="BodyTextnopadding">
    <w:name w:val="Body Text no padding"/>
    <w:basedOn w:val="BodyText"/>
    <w:qFormat/>
    <w:rsid w:val="008518B6"/>
    <w:pPr>
      <w:spacing w:before="0" w:after="0"/>
    </w:pPr>
  </w:style>
  <w:style w:type="paragraph" w:customStyle="1" w:styleId="BodyTextBold">
    <w:name w:val="Body Text Bold"/>
    <w:basedOn w:val="BodyText"/>
    <w:qFormat/>
    <w:rsid w:val="008518B6"/>
    <w:rPr>
      <w:b/>
    </w:rPr>
  </w:style>
  <w:style w:type="character" w:styleId="Hyperlink">
    <w:name w:val="Hyperlink"/>
    <w:basedOn w:val="DefaultParagraphFont"/>
    <w:uiPriority w:val="99"/>
    <w:unhideWhenUsed/>
    <w:rsid w:val="00EB7E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5392</Characters>
  <Application>Microsoft Office Word</Application>
  <DocSecurity>0</DocSecurity>
  <Lines>158</Lines>
  <Paragraphs>119</Paragraphs>
  <ScaleCrop>false</ScaleCrop>
  <Company>Author-it Software Corporation Ltd.</Company>
  <LinksUpToDate>false</LinksUpToDate>
  <CharactersWithSpaces>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RIIOGD209E Operate and maintain ancillary equipment</dc:title>
  <dc:subject>Approved</dc:subject>
  <dc:creator>PwC’s Skills for Australia</dc:creator>
  <cp:keywords>Release: 1</cp:keywords>
  <dc:description>Review Date: 12 April 2008</dc:description>
  <cp:lastModifiedBy>HSD_TPCMSd.prod</cp:lastModifiedBy>
  <cp:revision>3</cp:revision>
  <dcterms:created xsi:type="dcterms:W3CDTF">2021-01-25T11:46:00Z</dcterms:created>
  <dcterms:modified xsi:type="dcterms:W3CDTF">2021-01-25T11:46:00Z</dcterms:modified>
</cp:coreProperties>
</file>