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EA4" w:rsidP="00B21EA4">
      <w:pPr>
        <w:pStyle w:val="Title"/>
      </w:pPr>
      <w:r>
        <w:fldChar w:fldCharType="begin"/>
      </w:r>
      <w:r>
        <w:instrText xml:space="preserve"> TITLE   \* MERGEFORMAT </w:instrText>
      </w:r>
      <w:r>
        <w:fldChar w:fldCharType="separate"/>
      </w:r>
      <w:r>
        <w:t>RIIOGD205D Support blow out prevention operations</w:t>
      </w:r>
      <w:r>
        <w:fldChar w:fldCharType="end"/>
      </w:r>
    </w:p>
    <w:p w:rsidR="00B21EA4" w:rsidP="00B21EA4">
      <w:pPr>
        <w:pStyle w:val="Version"/>
        <w:sectPr w:rsidSect="006676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760C" w:rsidP="0066760C">
      <w:pPr>
        <w:pStyle w:val="SuperHeading"/>
      </w:pPr>
      <w:r w:rsidRPr="0066760C">
        <w:t>RIIOGD205D Support blow out prevention operations</w:t>
      </w:r>
    </w:p>
    <w:p w:rsidR="00000000" w:rsidRPr="0066760C" w:rsidP="0066760C">
      <w:pPr>
        <w:pStyle w:val="Heading1"/>
      </w:pPr>
      <w:bookmarkStart w:id="1" w:name="O_690921"/>
      <w:bookmarkEnd w:id="1"/>
      <w:r w:rsidRPr="0066760C">
        <w:t>Modification History</w:t>
      </w:r>
    </w:p>
    <w:tbl>
      <w:tblPr>
        <w:tblW w:w="0" w:type="auto"/>
        <w:tblCellMar>
          <w:left w:w="62" w:type="dxa"/>
          <w:right w:w="62" w:type="dxa"/>
        </w:tblCellMar>
        <w:tblLook w:val="0000"/>
      </w:tblPr>
      <w:tblGrid>
        <w:gridCol w:w="1107"/>
        <w:gridCol w:w="8089"/>
      </w:tblGrid>
      <w:tr w:rsidTr="00B21E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60C">
            <w:pPr>
              <w:pStyle w:val="Heading4"/>
              <w:rPr>
                <w:lang w:val="en-NZ"/>
              </w:rPr>
            </w:pPr>
            <w:r w:rsidRPr="0066760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60C">
            <w:pPr>
              <w:pStyle w:val="Heading4"/>
              <w:rPr>
                <w:lang w:val="en-NZ"/>
              </w:rPr>
            </w:pPr>
            <w:r w:rsidRPr="0066760C">
              <w:t>Comment</w:t>
            </w:r>
          </w:p>
        </w:tc>
      </w:tr>
      <w:tr w:rsidTr="00B21EA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60C">
            <w:pPr>
              <w:pStyle w:val="BodyText"/>
              <w:rPr>
                <w:lang w:val="en-NZ"/>
              </w:rPr>
            </w:pPr>
            <w:r w:rsidRPr="0066760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60C">
            <w:pPr>
              <w:pStyle w:val="BodyText"/>
              <w:rPr>
                <w:lang w:val="en-NZ"/>
              </w:rPr>
            </w:pPr>
            <w:r w:rsidRPr="0066760C">
              <w:t>This unit replaces RIIOGD205A Support blow out prevention operations</w:t>
            </w:r>
          </w:p>
        </w:tc>
      </w:tr>
      <w:tr w:rsidTr="00B21E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60C">
            <w:pPr>
              <w:pStyle w:val="BodyText"/>
              <w:rPr>
                <w:lang w:val="en-NZ"/>
              </w:rPr>
            </w:pPr>
            <w:r w:rsidRPr="0066760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60C" w:rsidP="0066760C">
            <w:pPr>
              <w:pStyle w:val="BodyText"/>
            </w:pPr>
            <w:r w:rsidRPr="0066760C">
              <w:t>Required frequency and volume of evidence amended in Performance evidence.</w:t>
            </w:r>
          </w:p>
          <w:p w:rsidR="00000000" w:rsidRPr="0066760C" w:rsidP="0066760C">
            <w:pPr>
              <w:pStyle w:val="BodyText"/>
            </w:pPr>
            <w:r w:rsidRPr="0066760C">
              <w:t>Substantial amendments made in Assessment Conditions field, i</w:t>
            </w:r>
            <w:r w:rsidRPr="0066760C">
              <w:t>ncluding: references to Industry Sectors, assessor and subject matter expert experience requirements, how assessment should be conducted and what it should confirm.</w:t>
            </w:r>
          </w:p>
        </w:tc>
      </w:tr>
    </w:tbl>
    <w:p w:rsidR="00000000" w:rsidRPr="0066760C" w:rsidP="0066760C">
      <w:pPr>
        <w:pStyle w:val="BodyText"/>
      </w:pPr>
    </w:p>
    <w:p w:rsidR="00000000" w:rsidRPr="0066760C" w:rsidP="0066760C">
      <w:pPr>
        <w:pStyle w:val="AllowPageBreak"/>
      </w:pPr>
    </w:p>
    <w:p w:rsidR="00000000" w:rsidRPr="0066760C" w:rsidP="0066760C">
      <w:pPr>
        <w:pStyle w:val="Heading1"/>
      </w:pPr>
      <w:bookmarkStart w:id="2" w:name="O_690920"/>
      <w:bookmarkEnd w:id="2"/>
      <w:r w:rsidRPr="0066760C">
        <w:t>Application</w:t>
      </w:r>
    </w:p>
    <w:p w:rsidR="00000000" w:rsidRPr="0066760C" w:rsidP="00B21EA4">
      <w:pPr>
        <w:pStyle w:val="BodyText"/>
      </w:pPr>
      <w:r w:rsidRPr="0066760C">
        <w:t>This unit describes a participant’</w:t>
      </w:r>
      <w:r w:rsidRPr="0066760C">
        <w:t>s skills and knowledge required to apply support blow out prevention operations in Coal Mining and Drilling.</w:t>
      </w:r>
    </w:p>
    <w:p w:rsidR="00000000" w:rsidRPr="0066760C" w:rsidP="00B21EA4">
      <w:pPr>
        <w:pStyle w:val="BodyText"/>
      </w:pPr>
      <w:r w:rsidRPr="0066760C">
        <w:t>This unit is appropriate for those working in operational roles.</w:t>
      </w:r>
    </w:p>
    <w:p w:rsidR="00B21EA4" w:rsidP="00B21EA4">
      <w:pPr>
        <w:pStyle w:val="BodyText"/>
      </w:pPr>
      <w:r w:rsidRPr="0066760C">
        <w:t>Licensing, legislative, regulatory and certification requirements that apply to th</w:t>
      </w:r>
      <w:r w:rsidRPr="0066760C">
        <w:t>is unit can vary between states, territories, and industry sectors. Relevant information must be sourced prior to application of the unit.</w:t>
      </w:r>
    </w:p>
    <w:p w:rsidR="00000000" w:rsidRPr="0066760C" w:rsidP="0066760C">
      <w:pPr>
        <w:pStyle w:val="Heading1"/>
      </w:pPr>
      <w:bookmarkStart w:id="3" w:name="O_690919"/>
      <w:bookmarkEnd w:id="3"/>
      <w:r w:rsidRPr="0066760C">
        <w:t>Unit Sector</w:t>
      </w:r>
    </w:p>
    <w:p w:rsidR="00000000" w:rsidRPr="0066760C" w:rsidP="00B21EA4">
      <w:pPr>
        <w:pStyle w:val="List"/>
      </w:pPr>
      <w:r w:rsidRPr="0066760C">
        <w:t>Coal mining</w:t>
      </w:r>
    </w:p>
    <w:p w:rsidR="00000000" w:rsidRPr="0066760C" w:rsidP="00B21EA4">
      <w:pPr>
        <w:pStyle w:val="List"/>
      </w:pPr>
      <w:r w:rsidRPr="0066760C">
        <w:t>Drilling</w:t>
      </w:r>
    </w:p>
    <w:p w:rsidR="00000000" w:rsidRPr="0066760C" w:rsidP="0066760C">
      <w:pPr>
        <w:pStyle w:val="AllowPageBreak"/>
      </w:pPr>
    </w:p>
    <w:p w:rsidR="00000000" w:rsidRPr="0066760C" w:rsidP="0066760C">
      <w:pPr>
        <w:pStyle w:val="Heading1"/>
      </w:pPr>
      <w:bookmarkStart w:id="4" w:name="O_690918"/>
      <w:bookmarkEnd w:id="4"/>
      <w:r w:rsidRPr="0066760C">
        <w:t>Elements and Performance Criteria</w:t>
      </w:r>
    </w:p>
    <w:tbl>
      <w:tblPr>
        <w:tblW w:w="9322" w:type="dxa"/>
        <w:tblLayout w:type="fixed"/>
        <w:tblCellMar>
          <w:left w:w="62" w:type="dxa"/>
          <w:right w:w="62" w:type="dxa"/>
        </w:tblCellMar>
        <w:tblLook w:val="0000"/>
      </w:tblPr>
      <w:tblGrid>
        <w:gridCol w:w="2438"/>
        <w:gridCol w:w="6884"/>
      </w:tblGrid>
      <w:tr w:rsidTr="0066760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0C">
            <w:pPr>
              <w:pStyle w:val="BodyText"/>
              <w:rPr>
                <w:lang w:val="en-NZ"/>
              </w:rPr>
            </w:pPr>
            <w:r w:rsidRPr="0066760C">
              <w:t>1.  Plan and pr</w:t>
            </w:r>
            <w:r w:rsidRPr="0066760C">
              <w:t>epare for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0C" w:rsidP="0066760C">
            <w:pPr>
              <w:pStyle w:val="BodyText"/>
            </w:pPr>
            <w:r w:rsidRPr="0066760C">
              <w:t>1.1</w:t>
            </w:r>
            <w:r w:rsidRPr="0066760C">
              <w:tab/>
              <w:t xml:space="preserve">Access, interpret and apply blow out prevention documentation and ensure the work activity is compliant </w:t>
            </w:r>
          </w:p>
          <w:p w:rsidR="00000000" w:rsidRPr="0066760C" w:rsidP="0066760C">
            <w:pPr>
              <w:pStyle w:val="BodyText"/>
            </w:pPr>
            <w:r w:rsidRPr="0066760C">
              <w:t>1.2</w:t>
            </w:r>
            <w:r w:rsidRPr="0066760C">
              <w:tab/>
              <w:t xml:space="preserve">Obtain, read, interpret, clarify and confirm work requirements </w:t>
            </w:r>
          </w:p>
          <w:p w:rsidR="00000000" w:rsidRPr="0066760C" w:rsidP="0066760C">
            <w:pPr>
              <w:pStyle w:val="BodyText"/>
            </w:pPr>
            <w:r w:rsidRPr="0066760C">
              <w:t>1.3</w:t>
            </w:r>
            <w:r w:rsidRPr="0066760C">
              <w:tab/>
              <w:t>Identify and address potential risks, hazards and envi</w:t>
            </w:r>
            <w:r w:rsidRPr="0066760C">
              <w:t xml:space="preserve">ronmental issues and implement control measures </w:t>
            </w:r>
          </w:p>
          <w:p w:rsidR="00000000" w:rsidRPr="0066760C" w:rsidP="0066760C">
            <w:pPr>
              <w:pStyle w:val="BodyText"/>
            </w:pPr>
            <w:r w:rsidRPr="0066760C">
              <w:t>1.4</w:t>
            </w:r>
            <w:r w:rsidRPr="0066760C">
              <w:tab/>
              <w:t>Select the personal protective equipment appropriate for the work activity</w:t>
            </w:r>
          </w:p>
          <w:p w:rsidR="00000000" w:rsidP="0066760C">
            <w:pPr>
              <w:pStyle w:val="BodyText"/>
              <w:rPr>
                <w:lang w:val="en-NZ"/>
              </w:rPr>
            </w:pPr>
            <w:r w:rsidRPr="0066760C">
              <w:t>1.5</w:t>
            </w:r>
            <w:r w:rsidRPr="0066760C">
              <w:tab/>
              <w:t>Resolve coordination requirements with others at the site prior to commencing and during work activities</w:t>
            </w:r>
          </w:p>
        </w:tc>
      </w:tr>
      <w:tr w:rsidTr="0066760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0C">
            <w:pPr>
              <w:pStyle w:val="BodyText"/>
              <w:rPr>
                <w:lang w:val="en-NZ"/>
              </w:rPr>
            </w:pPr>
            <w:r w:rsidRPr="0066760C">
              <w:t>2.  Assist with we</w:t>
            </w:r>
            <w:r w:rsidRPr="0066760C">
              <w:t>ll BOP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0C" w:rsidP="0066760C">
            <w:pPr>
              <w:pStyle w:val="BodyText"/>
            </w:pPr>
            <w:r w:rsidRPr="0066760C">
              <w:t>2.1</w:t>
            </w:r>
            <w:r w:rsidRPr="0066760C">
              <w:tab/>
              <w:t>Assist with well kill activities</w:t>
            </w:r>
          </w:p>
          <w:p w:rsidR="00000000" w:rsidRPr="0066760C" w:rsidP="0066760C">
            <w:pPr>
              <w:pStyle w:val="BodyText"/>
            </w:pPr>
            <w:r w:rsidRPr="0066760C">
              <w:t>2.2</w:t>
            </w:r>
            <w:r w:rsidRPr="0066760C">
              <w:tab/>
              <w:t>Monitor and report BOP equipment status</w:t>
            </w:r>
          </w:p>
          <w:p w:rsidR="00000000" w:rsidRPr="0066760C" w:rsidP="0066760C">
            <w:pPr>
              <w:pStyle w:val="BodyText"/>
            </w:pPr>
            <w:r w:rsidRPr="0066760C">
              <w:t>2.3</w:t>
            </w:r>
            <w:r w:rsidRPr="0066760C">
              <w:tab/>
              <w:t>Isolate BOP system accumulator</w:t>
            </w:r>
          </w:p>
          <w:p w:rsidR="00000000" w:rsidRPr="0066760C" w:rsidP="0066760C">
            <w:pPr>
              <w:pStyle w:val="BodyText"/>
            </w:pPr>
            <w:r w:rsidRPr="0066760C">
              <w:t>2.4</w:t>
            </w:r>
            <w:r w:rsidRPr="0066760C">
              <w:tab/>
              <w:t>Monitor and adjust chokes and manifolds as directed</w:t>
            </w:r>
          </w:p>
          <w:p w:rsidR="00000000" w:rsidRPr="0066760C" w:rsidP="0066760C">
            <w:pPr>
              <w:pStyle w:val="BodyText"/>
            </w:pPr>
            <w:r w:rsidRPr="0066760C">
              <w:t>2.5</w:t>
            </w:r>
            <w:r w:rsidRPr="0066760C">
              <w:tab/>
              <w:t>Assist with emergency shutdown procedures</w:t>
            </w:r>
          </w:p>
          <w:p w:rsidR="00000000" w:rsidRPr="0066760C" w:rsidP="0066760C">
            <w:pPr>
              <w:pStyle w:val="BodyText"/>
            </w:pPr>
            <w:r w:rsidRPr="0066760C">
              <w:t>2.6</w:t>
            </w:r>
            <w:r w:rsidRPr="0066760C">
              <w:tab/>
            </w:r>
            <w:r w:rsidRPr="0066760C">
              <w:t>Participate in emergency drills and exercises</w:t>
            </w:r>
          </w:p>
          <w:p w:rsidR="00000000" w:rsidP="0066760C">
            <w:pPr>
              <w:pStyle w:val="BodyText"/>
              <w:rPr>
                <w:lang w:val="en-NZ"/>
              </w:rPr>
            </w:pPr>
            <w:r w:rsidRPr="0066760C">
              <w:t>2.7</w:t>
            </w:r>
            <w:r w:rsidRPr="0066760C">
              <w:tab/>
              <w:t>Communicate operational activities and information to other crew during BOP operations</w:t>
            </w:r>
          </w:p>
        </w:tc>
      </w:tr>
      <w:tr w:rsidTr="0066760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60C">
            <w:pPr>
              <w:pStyle w:val="BodyText"/>
              <w:rPr>
                <w:lang w:val="en-NZ"/>
              </w:rPr>
            </w:pPr>
            <w:r w:rsidRPr="0066760C">
              <w:t>3.  Monitor and report safety issues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60C" w:rsidP="0066760C">
            <w:pPr>
              <w:pStyle w:val="BodyText"/>
            </w:pPr>
            <w:r w:rsidRPr="0066760C">
              <w:t>3.1</w:t>
            </w:r>
            <w:r w:rsidRPr="0066760C">
              <w:tab/>
              <w:t>Identify, address and report hazards associated with blow out prevention</w:t>
            </w:r>
          </w:p>
          <w:p w:rsidR="00000000" w:rsidRPr="0066760C" w:rsidP="0066760C">
            <w:pPr>
              <w:pStyle w:val="BodyText"/>
            </w:pPr>
            <w:r w:rsidRPr="0066760C">
              <w:t>3.2</w:t>
            </w:r>
            <w:r w:rsidRPr="0066760C">
              <w:tab/>
            </w:r>
            <w:r w:rsidRPr="0066760C">
              <w:t>Recognise kick indicators and advise Driller during operations</w:t>
            </w:r>
          </w:p>
          <w:p w:rsidR="00000000" w:rsidRPr="0066760C" w:rsidP="0066760C">
            <w:pPr>
              <w:pStyle w:val="BodyText"/>
            </w:pPr>
            <w:r w:rsidRPr="0066760C">
              <w:t>3.3</w:t>
            </w:r>
            <w:r w:rsidRPr="0066760C">
              <w:tab/>
              <w:t>Identify and report ignition sources</w:t>
            </w:r>
          </w:p>
          <w:p w:rsidR="00000000" w:rsidRPr="0066760C" w:rsidP="0066760C">
            <w:pPr>
              <w:pStyle w:val="BodyText"/>
            </w:pPr>
            <w:r w:rsidRPr="0066760C">
              <w:t>3.4</w:t>
            </w:r>
            <w:r w:rsidRPr="0066760C">
              <w:tab/>
              <w:t>Identify and report sources and presence of flammable gases and emissions</w:t>
            </w:r>
          </w:p>
          <w:p w:rsidR="00000000" w:rsidRPr="0066760C" w:rsidP="0066760C">
            <w:pPr>
              <w:pStyle w:val="BodyText"/>
            </w:pPr>
            <w:r w:rsidRPr="0066760C">
              <w:t>3.5</w:t>
            </w:r>
            <w:r w:rsidRPr="0066760C">
              <w:tab/>
              <w:t>Identify and report BOP malfunctions</w:t>
            </w:r>
          </w:p>
        </w:tc>
      </w:tr>
    </w:tbl>
    <w:p w:rsidR="00000000" w:rsidRPr="0066760C" w:rsidP="0066760C">
      <w:pPr>
        <w:pStyle w:val="BodyText"/>
      </w:pPr>
    </w:p>
    <w:p w:rsidR="00000000" w:rsidRPr="0066760C" w:rsidP="0066760C">
      <w:pPr>
        <w:pStyle w:val="AllowPageBreak"/>
      </w:pPr>
    </w:p>
    <w:p w:rsidR="00000000" w:rsidRPr="0066760C" w:rsidP="0066760C">
      <w:pPr>
        <w:pStyle w:val="Heading1"/>
      </w:pPr>
      <w:bookmarkStart w:id="5" w:name="O_690917"/>
      <w:bookmarkEnd w:id="5"/>
      <w:r w:rsidRPr="0066760C">
        <w:t>Foundation Ski</w:t>
      </w:r>
      <w:r w:rsidRPr="0066760C">
        <w:t>lls</w:t>
      </w:r>
    </w:p>
    <w:p w:rsidR="00B21EA4" w:rsidP="00B21EA4">
      <w:pPr>
        <w:pStyle w:val="BodyText"/>
      </w:pPr>
      <w:r w:rsidRPr="0066760C">
        <w:t>Foundation skills essential to performance are explicit in the performance criteria of this unit. Further information is available in the Resources and Infrastructure Industry Training Package Companion Volume.</w:t>
      </w:r>
    </w:p>
    <w:p w:rsidR="00000000" w:rsidRPr="0066760C" w:rsidP="0066760C">
      <w:pPr>
        <w:pStyle w:val="Heading1"/>
      </w:pPr>
      <w:bookmarkStart w:id="6" w:name="O_690916"/>
      <w:bookmarkEnd w:id="6"/>
      <w:r w:rsidRPr="0066760C">
        <w:t>Unit Mapping Informatio</w:t>
      </w:r>
      <w:r w:rsidRPr="0066760C">
        <w:t>n</w:t>
      </w:r>
    </w:p>
    <w:p w:rsidR="00000000" w:rsidRPr="0066760C" w:rsidP="00B21EA4">
      <w:pPr>
        <w:pStyle w:val="BodyText"/>
      </w:pPr>
      <w:r w:rsidRPr="0066760C">
        <w:t xml:space="preserve">RIIOGD205A Support blow out prevention operations </w:t>
      </w:r>
    </w:p>
    <w:p w:rsidR="00000000" w:rsidRPr="0066760C" w:rsidP="0066760C">
      <w:pPr>
        <w:pStyle w:val="Heading1"/>
      </w:pPr>
      <w:bookmarkStart w:id="7" w:name="O_690922"/>
      <w:bookmarkEnd w:id="7"/>
      <w:r w:rsidRPr="0066760C">
        <w:t>Links</w:t>
      </w:r>
    </w:p>
    <w:p w:rsidR="00000000" w:rsidRPr="0066760C" w:rsidP="00B21EA4">
      <w:pPr>
        <w:pStyle w:val="BodyText"/>
      </w:pPr>
      <w:r w:rsidRPr="0066760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2C89">
        <w:rPr>
          <w:rStyle w:val="Hyperlink"/>
        </w:rPr>
        <w:t>https://vetnet.gov.au/Pages/TrainingDocs.aspx?q=88a61002-9a21-4386-aaf8-69c76e675272</w:t>
      </w:r>
      <w:r>
        <w:fldChar w:fldCharType="end"/>
      </w:r>
    </w:p>
    <w:p w:rsidR="00000000" w:rsidRPr="0066760C" w:rsidP="00B21EA4">
      <w:pPr>
        <w:pStyle w:val="BodyText"/>
        <w:sectPr w:rsidSect="0066760C">
          <w:headerReference w:type="default" r:id="rId10"/>
          <w:footerReference w:type="default" r:id="rId11"/>
          <w:pgSz w:w="11908" w:h="16833"/>
          <w:pgMar w:top="1702" w:right="1418" w:bottom="1702" w:left="1418" w:header="992" w:footer="992" w:gutter="0"/>
          <w:cols w:space="720"/>
          <w:noEndnote/>
          <w:docGrid w:linePitch="299"/>
        </w:sectPr>
      </w:pPr>
    </w:p>
    <w:p w:rsidR="00000000" w:rsidRPr="0066760C" w:rsidP="0066760C">
      <w:pPr>
        <w:pStyle w:val="SuperHeading"/>
      </w:pPr>
      <w:r w:rsidRPr="0066760C">
        <w:t>Assessment Requirements for RIIOGD205D Support blow out prevention operations</w:t>
      </w:r>
    </w:p>
    <w:p w:rsidR="00000000" w:rsidRPr="0066760C" w:rsidP="0066760C">
      <w:pPr>
        <w:pStyle w:val="Heading1"/>
      </w:pPr>
      <w:bookmarkStart w:id="8" w:name="O_690914"/>
      <w:bookmarkEnd w:id="8"/>
      <w:r w:rsidRPr="0066760C">
        <w:t>Modification History</w:t>
      </w:r>
    </w:p>
    <w:tbl>
      <w:tblPr>
        <w:tblW w:w="0" w:type="auto"/>
        <w:tblCellMar>
          <w:left w:w="62" w:type="dxa"/>
          <w:right w:w="62" w:type="dxa"/>
        </w:tblCellMar>
        <w:tblLook w:val="0000"/>
      </w:tblPr>
      <w:tblGrid>
        <w:gridCol w:w="1107"/>
        <w:gridCol w:w="8089"/>
      </w:tblGrid>
      <w:tr w:rsidTr="00B21E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60C">
            <w:pPr>
              <w:pStyle w:val="Heading4"/>
              <w:rPr>
                <w:lang w:val="en-NZ"/>
              </w:rPr>
            </w:pPr>
            <w:r w:rsidRPr="0066760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60C">
            <w:pPr>
              <w:pStyle w:val="Heading4"/>
              <w:rPr>
                <w:lang w:val="en-NZ"/>
              </w:rPr>
            </w:pPr>
            <w:r w:rsidRPr="0066760C">
              <w:t>Comment</w:t>
            </w:r>
          </w:p>
        </w:tc>
      </w:tr>
      <w:tr w:rsidTr="00B21EA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60C">
            <w:pPr>
              <w:pStyle w:val="BodyText"/>
              <w:rPr>
                <w:lang w:val="en-NZ"/>
              </w:rPr>
            </w:pPr>
            <w:r w:rsidRPr="0066760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60C">
            <w:pPr>
              <w:pStyle w:val="BodyText"/>
              <w:rPr>
                <w:lang w:val="en-NZ"/>
              </w:rPr>
            </w:pPr>
            <w:r w:rsidRPr="0066760C">
              <w:t>This unit replaces RIIOGD205A Support blow out prevention operations</w:t>
            </w:r>
          </w:p>
        </w:tc>
      </w:tr>
      <w:tr w:rsidTr="00B21E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60C">
            <w:pPr>
              <w:pStyle w:val="BodyText"/>
              <w:rPr>
                <w:lang w:val="en-NZ"/>
              </w:rPr>
            </w:pPr>
            <w:r w:rsidRPr="0066760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60C" w:rsidP="0066760C">
            <w:pPr>
              <w:pStyle w:val="BodyText"/>
            </w:pPr>
            <w:r w:rsidRPr="0066760C">
              <w:t>Required frequency and volume of evidence amended in Performance evidence.</w:t>
            </w:r>
          </w:p>
          <w:p w:rsidR="00000000" w:rsidRPr="0066760C" w:rsidP="0066760C">
            <w:pPr>
              <w:pStyle w:val="BodyText"/>
            </w:pPr>
            <w:r w:rsidRPr="0066760C">
              <w:t>Substantial amendments made in Assessment Conditions field, including: references to Industry Sectors, assessor and subject matter expert experience requirements, how assessment sho</w:t>
            </w:r>
            <w:r w:rsidRPr="0066760C">
              <w:t>uld be conducted and what it should confirm.</w:t>
            </w:r>
          </w:p>
        </w:tc>
      </w:tr>
    </w:tbl>
    <w:p w:rsidR="00000000" w:rsidRPr="0066760C" w:rsidP="0066760C">
      <w:pPr>
        <w:pStyle w:val="BodyText"/>
      </w:pPr>
    </w:p>
    <w:p w:rsidR="00000000" w:rsidRPr="0066760C" w:rsidP="0066760C">
      <w:pPr>
        <w:pStyle w:val="AllowPageBreak"/>
      </w:pPr>
    </w:p>
    <w:p w:rsidR="00000000" w:rsidRPr="0066760C" w:rsidP="0066760C">
      <w:pPr>
        <w:pStyle w:val="Heading1"/>
      </w:pPr>
      <w:bookmarkStart w:id="9" w:name="O_690913"/>
      <w:bookmarkEnd w:id="9"/>
      <w:r w:rsidRPr="0066760C">
        <w:t>Performance Evidence</w:t>
      </w:r>
    </w:p>
    <w:p w:rsidR="00000000" w:rsidRPr="0066760C" w:rsidP="00B21EA4">
      <w:pPr>
        <w:pStyle w:val="BodyText"/>
      </w:pPr>
      <w:r w:rsidRPr="0066760C">
        <w:t>Evidence is required to be collected that demonstrates a candidate’s competency in this unit. Evidence must be relevant to the roles within this sector’s work operations a</w:t>
      </w:r>
      <w:r w:rsidRPr="0066760C">
        <w:t>nd satisfy all of the requirements of the performance criteria of this unit and include evidence that the candidate:</w:t>
      </w:r>
    </w:p>
    <w:p w:rsidR="00000000" w:rsidRPr="0066760C" w:rsidP="0066760C">
      <w:pPr>
        <w:pStyle w:val="ListBullet"/>
      </w:pPr>
      <w:r w:rsidRPr="0066760C">
        <w:t>locates and applies applicable legislation, documentation, policies and procedures</w:t>
      </w:r>
    </w:p>
    <w:p w:rsidR="00000000" w:rsidRPr="0066760C" w:rsidP="0066760C">
      <w:pPr>
        <w:pStyle w:val="ListBullet"/>
      </w:pPr>
      <w:r w:rsidRPr="0066760C">
        <w:t>knowledge of the requirements, procedures and instructions for supporting blow out prevention operations</w:t>
      </w:r>
    </w:p>
    <w:p w:rsidR="00000000" w:rsidRPr="0066760C" w:rsidP="0066760C">
      <w:pPr>
        <w:pStyle w:val="ListBullet"/>
      </w:pPr>
      <w:r w:rsidRPr="0066760C">
        <w:t>implements the requirements, procedures and techniques for the safe, effective and efficient support of blow out prevention operations including:</w:t>
      </w:r>
    </w:p>
    <w:p w:rsidR="00000000" w:rsidRPr="0066760C" w:rsidP="0066760C">
      <w:pPr>
        <w:pStyle w:val="ListBullet2"/>
      </w:pPr>
      <w:r w:rsidRPr="0066760C">
        <w:t>dete</w:t>
      </w:r>
      <w:r w:rsidRPr="0066760C">
        <w:t xml:space="preserve">rmining type of BOP and their unique requirements </w:t>
      </w:r>
    </w:p>
    <w:p w:rsidR="00000000" w:rsidRPr="0066760C" w:rsidP="0066760C">
      <w:pPr>
        <w:pStyle w:val="ListBullet2"/>
      </w:pPr>
      <w:r w:rsidRPr="0066760C">
        <w:t>apply kick warning signs and indicators detecting procedures</w:t>
      </w:r>
    </w:p>
    <w:p w:rsidR="00000000" w:rsidRPr="0066760C" w:rsidP="0066760C">
      <w:pPr>
        <w:pStyle w:val="ListBullet2"/>
      </w:pPr>
      <w:r w:rsidRPr="0066760C">
        <w:t>apply work instruction and procedure interpretation skills</w:t>
      </w:r>
    </w:p>
    <w:p w:rsidR="00000000" w:rsidRPr="0066760C" w:rsidP="0066760C">
      <w:pPr>
        <w:pStyle w:val="ListBullet2"/>
      </w:pPr>
      <w:r w:rsidRPr="0066760C">
        <w:t>monitor process including recording and reporting on operations and safety issues</w:t>
      </w:r>
    </w:p>
    <w:p w:rsidR="00000000" w:rsidRPr="0066760C" w:rsidP="0066760C">
      <w:pPr>
        <w:pStyle w:val="ListBullet"/>
      </w:pPr>
      <w:r w:rsidRPr="0066760C">
        <w:t>wo</w:t>
      </w:r>
      <w:r w:rsidRPr="0066760C">
        <w:t>rks effectively others to undertake and complete the blow out prevention operations that meets all of the required outcomes including:</w:t>
      </w:r>
    </w:p>
    <w:p w:rsidR="00000000" w:rsidRPr="0066760C" w:rsidP="0066760C">
      <w:pPr>
        <w:pStyle w:val="ListBullet2"/>
      </w:pPr>
      <w:r w:rsidRPr="0066760C">
        <w:t>working in a team and organising work activities to meet all task requirements</w:t>
      </w:r>
    </w:p>
    <w:p w:rsidR="00000000" w:rsidRPr="0066760C" w:rsidP="0066760C">
      <w:pPr>
        <w:pStyle w:val="ListBullet2"/>
      </w:pPr>
      <w:r w:rsidRPr="0066760C">
        <w:t xml:space="preserve">communicating clearly and concisely with </w:t>
      </w:r>
      <w:r w:rsidRPr="0066760C">
        <w:t>others to receive and clarify work instructions</w:t>
      </w:r>
    </w:p>
    <w:p w:rsidR="00000000" w:rsidRPr="0066760C" w:rsidP="0066760C">
      <w:pPr>
        <w:pStyle w:val="ListBullet"/>
      </w:pPr>
      <w:r w:rsidRPr="0066760C">
        <w:t>demonstrates completion of the support of blow out prevention operations that safely, effectively and efficiently meets all of the required outcomes on more than one (1) occasion including:</w:t>
      </w:r>
    </w:p>
    <w:p w:rsidR="00000000" w:rsidRPr="0066760C" w:rsidP="0066760C">
      <w:pPr>
        <w:pStyle w:val="ListBullet2"/>
      </w:pPr>
      <w:r w:rsidRPr="0066760C">
        <w:t>disassemble, cle</w:t>
      </w:r>
      <w:r w:rsidRPr="0066760C">
        <w:t>an, check, replace and assemble components of the Ram or Annular BOP</w:t>
      </w:r>
    </w:p>
    <w:p w:rsidR="00000000" w:rsidRPr="0066760C" w:rsidP="0066760C">
      <w:pPr>
        <w:pStyle w:val="ListBullet2"/>
      </w:pPr>
      <w:r w:rsidRPr="0066760C">
        <w:t>inspect parts in sequence before assembly which may include:</w:t>
      </w:r>
    </w:p>
    <w:p w:rsidR="00000000" w:rsidRPr="0066760C" w:rsidP="0066760C">
      <w:pPr>
        <w:pStyle w:val="ListBullet3"/>
      </w:pPr>
      <w:r w:rsidRPr="0066760C">
        <w:t>housing/body joints and outlets</w:t>
      </w:r>
    </w:p>
    <w:p w:rsidR="00000000" w:rsidRPr="0066760C" w:rsidP="0066760C">
      <w:pPr>
        <w:pStyle w:val="ListBullet3"/>
      </w:pPr>
      <w:r w:rsidRPr="0066760C">
        <w:t>locking assembly</w:t>
      </w:r>
    </w:p>
    <w:p w:rsidR="00000000" w:rsidRPr="0066760C" w:rsidP="0066760C">
      <w:pPr>
        <w:pStyle w:val="ListBullet3"/>
      </w:pPr>
      <w:r w:rsidRPr="0066760C">
        <w:t>piston</w:t>
      </w:r>
    </w:p>
    <w:p w:rsidR="00000000" w:rsidRPr="0066760C" w:rsidP="0066760C">
      <w:pPr>
        <w:pStyle w:val="ListBullet3"/>
      </w:pPr>
      <w:r w:rsidRPr="0066760C">
        <w:t>bonnet seal</w:t>
      </w:r>
    </w:p>
    <w:p w:rsidR="00000000" w:rsidRPr="0066760C" w:rsidP="0066760C">
      <w:pPr>
        <w:pStyle w:val="ListBullet3"/>
      </w:pPr>
      <w:r w:rsidRPr="0066760C">
        <w:t>BOP vertical bore</w:t>
      </w:r>
    </w:p>
    <w:p w:rsidR="00000000" w:rsidRPr="0066760C" w:rsidP="0066760C">
      <w:pPr>
        <w:pStyle w:val="ListBullet3"/>
      </w:pPr>
      <w:r w:rsidRPr="0066760C">
        <w:t>shafts</w:t>
      </w:r>
    </w:p>
    <w:p w:rsidR="00000000" w:rsidRPr="0066760C" w:rsidP="0066760C">
      <w:pPr>
        <w:pStyle w:val="ListBullet3"/>
      </w:pPr>
      <w:r w:rsidRPr="0066760C">
        <w:t>rotating assembly</w:t>
      </w:r>
    </w:p>
    <w:p w:rsidR="00000000" w:rsidRPr="0066760C" w:rsidP="0066760C">
      <w:pPr>
        <w:pStyle w:val="ListBullet3"/>
      </w:pPr>
      <w:r w:rsidRPr="0066760C">
        <w:t xml:space="preserve">welding parts and plating </w:t>
      </w:r>
    </w:p>
    <w:p w:rsidR="00000000" w:rsidRPr="0066760C" w:rsidP="0066760C">
      <w:pPr>
        <w:pStyle w:val="ListBullet3"/>
      </w:pPr>
      <w:r w:rsidRPr="0066760C">
        <w:t xml:space="preserve">major piston </w:t>
      </w:r>
    </w:p>
    <w:p w:rsidR="00000000" w:rsidRPr="0066760C" w:rsidP="0066760C">
      <w:pPr>
        <w:pStyle w:val="ListBullet3"/>
      </w:pPr>
      <w:r w:rsidRPr="0066760C">
        <w:t>bonnet bolt</w:t>
      </w:r>
    </w:p>
    <w:p w:rsidR="00000000" w:rsidRPr="0066760C" w:rsidP="0066760C">
      <w:pPr>
        <w:pStyle w:val="ListBullet3"/>
      </w:pPr>
      <w:r w:rsidRPr="0066760C">
        <w:t>flanges</w:t>
      </w:r>
    </w:p>
    <w:p w:rsidR="00000000" w:rsidRPr="0066760C" w:rsidP="0066760C">
      <w:pPr>
        <w:pStyle w:val="ListBullet3"/>
      </w:pPr>
      <w:r w:rsidRPr="0066760C">
        <w:t>extend and retract ports</w:t>
      </w:r>
    </w:p>
    <w:p w:rsidR="00000000" w:rsidRPr="0066760C" w:rsidP="0066760C">
      <w:pPr>
        <w:pStyle w:val="ListBullet3"/>
      </w:pPr>
      <w:r w:rsidRPr="0066760C">
        <w:t>blowhole and blindhole</w:t>
      </w:r>
    </w:p>
    <w:p w:rsidR="00000000" w:rsidRPr="0066760C" w:rsidP="0066760C">
      <w:pPr>
        <w:pStyle w:val="ListBullet2"/>
      </w:pPr>
      <w:r w:rsidRPr="0066760C">
        <w:t>participate in identification of hazards and issues</w:t>
      </w:r>
    </w:p>
    <w:p w:rsidR="00000000" w:rsidRPr="0066760C" w:rsidP="0066760C">
      <w:pPr>
        <w:pStyle w:val="ListBullet2"/>
      </w:pPr>
      <w:r w:rsidRPr="0066760C">
        <w:t>participate in emergency drills and activities on site</w:t>
      </w:r>
    </w:p>
    <w:p w:rsidR="00000000" w:rsidRPr="0066760C" w:rsidP="0066760C">
      <w:pPr>
        <w:pStyle w:val="AllowPageBreak"/>
      </w:pPr>
    </w:p>
    <w:p w:rsidR="00000000" w:rsidRPr="0066760C" w:rsidP="0066760C">
      <w:pPr>
        <w:pStyle w:val="Heading1"/>
      </w:pPr>
      <w:bookmarkStart w:id="10" w:name="O_690912"/>
      <w:bookmarkEnd w:id="10"/>
      <w:r w:rsidRPr="0066760C">
        <w:t>Knowledge Evidence</w:t>
      </w:r>
    </w:p>
    <w:p w:rsidR="00000000" w:rsidRPr="0066760C" w:rsidP="00B21EA4">
      <w:pPr>
        <w:pStyle w:val="BodyText"/>
      </w:pPr>
      <w:r w:rsidRPr="0066760C">
        <w:t>The candidate must demonstrate knowledge in support blow out prevention operation through:</w:t>
      </w:r>
    </w:p>
    <w:p w:rsidR="00000000" w:rsidRPr="0066760C" w:rsidP="0066760C">
      <w:pPr>
        <w:pStyle w:val="ListBullet"/>
      </w:pPr>
      <w:r w:rsidRPr="0066760C">
        <w:t>the principles and practices of coal seam gas control</w:t>
      </w:r>
    </w:p>
    <w:p w:rsidR="00000000" w:rsidRPr="0066760C" w:rsidP="0066760C">
      <w:pPr>
        <w:pStyle w:val="ListBullet"/>
      </w:pPr>
      <w:r w:rsidRPr="0066760C">
        <w:t>and complying with coal seam gas control procedures</w:t>
      </w:r>
    </w:p>
    <w:p w:rsidR="00000000" w:rsidRPr="0066760C" w:rsidP="0066760C">
      <w:pPr>
        <w:pStyle w:val="ListBullet"/>
      </w:pPr>
      <w:r w:rsidRPr="0066760C">
        <w:t xml:space="preserve">risks and their controls related to coal seam gas control </w:t>
      </w:r>
    </w:p>
    <w:p w:rsidR="00000000" w:rsidRPr="0066760C" w:rsidP="0066760C">
      <w:pPr>
        <w:pStyle w:val="ListBullet"/>
      </w:pPr>
      <w:r w:rsidRPr="0066760C">
        <w:t>and complying with BOP annular equipment operating principles</w:t>
      </w:r>
    </w:p>
    <w:p w:rsidR="00000000" w:rsidRPr="0066760C" w:rsidP="0066760C">
      <w:pPr>
        <w:pStyle w:val="ListBullet"/>
      </w:pPr>
      <w:r w:rsidRPr="0066760C">
        <w:t>BOP control system principles</w:t>
      </w:r>
    </w:p>
    <w:p w:rsidR="00000000" w:rsidRPr="0066760C" w:rsidP="0066760C">
      <w:pPr>
        <w:pStyle w:val="ListBullet"/>
      </w:pPr>
      <w:r w:rsidRPr="0066760C">
        <w:t>operating principles of chokes and manifolds</w:t>
      </w:r>
    </w:p>
    <w:p w:rsidR="00000000" w:rsidRPr="0066760C" w:rsidP="0066760C">
      <w:pPr>
        <w:pStyle w:val="ListBullet"/>
      </w:pPr>
      <w:r w:rsidRPr="0066760C">
        <w:t>kill principles and methods</w:t>
      </w:r>
    </w:p>
    <w:p w:rsidR="00000000" w:rsidRPr="0066760C" w:rsidP="0066760C">
      <w:pPr>
        <w:pStyle w:val="ListBullet"/>
      </w:pPr>
      <w:r w:rsidRPr="0066760C">
        <w:t>sources of ignition and their dangers and controls</w:t>
      </w:r>
    </w:p>
    <w:p w:rsidR="00000000" w:rsidRPr="0066760C" w:rsidP="0066760C">
      <w:pPr>
        <w:pStyle w:val="ListBullet"/>
      </w:pPr>
      <w:r w:rsidRPr="0066760C">
        <w:t>sources of flammable gases and emission</w:t>
      </w:r>
      <w:r w:rsidRPr="0066760C">
        <w:t>s and their dangers and controls</w:t>
      </w:r>
    </w:p>
    <w:p w:rsidR="00000000" w:rsidRPr="0066760C" w:rsidP="0066760C">
      <w:pPr>
        <w:pStyle w:val="ListBullet"/>
      </w:pPr>
      <w:r w:rsidRPr="0066760C">
        <w:t>kick detection warnings and indications and the responses to them</w:t>
      </w:r>
    </w:p>
    <w:p w:rsidR="00000000" w:rsidRPr="0066760C" w:rsidP="0066760C">
      <w:pPr>
        <w:pStyle w:val="ListBullet"/>
      </w:pPr>
      <w:r w:rsidRPr="0066760C">
        <w:t>purpose, type and conduct of coal seam gas control emergency drills and exercises</w:t>
      </w:r>
    </w:p>
    <w:p w:rsidR="00000000" w:rsidRPr="0066760C" w:rsidP="0066760C">
      <w:pPr>
        <w:pStyle w:val="ListBullet"/>
      </w:pPr>
      <w:r w:rsidRPr="0066760C">
        <w:t>using various communication methods and protocols</w:t>
      </w:r>
    </w:p>
    <w:p w:rsidR="00000000" w:rsidRPr="0066760C" w:rsidP="0066760C">
      <w:pPr>
        <w:pStyle w:val="AllowPageBreak"/>
      </w:pPr>
    </w:p>
    <w:p w:rsidR="00000000" w:rsidRPr="0066760C" w:rsidP="0066760C">
      <w:pPr>
        <w:pStyle w:val="Heading1"/>
      </w:pPr>
      <w:bookmarkStart w:id="11" w:name="O_690911"/>
      <w:bookmarkEnd w:id="11"/>
      <w:r w:rsidRPr="0066760C">
        <w:t>Assessment Conditions</w:t>
      </w:r>
    </w:p>
    <w:p w:rsidR="00000000" w:rsidRPr="0066760C" w:rsidP="0066760C">
      <w:pPr>
        <w:pStyle w:val="ListBullet"/>
      </w:pPr>
      <w:r w:rsidRPr="0066760C">
        <w:t xml:space="preserve">An assessor of this unit must satisfy the requirements of the NVR/AQTF or their successors; and Industry regulations for certification and licensing; and, </w:t>
      </w:r>
    </w:p>
    <w:p w:rsidR="00000000" w:rsidRPr="0066760C" w:rsidP="0066760C">
      <w:pPr>
        <w:pStyle w:val="ListBullet"/>
      </w:pPr>
      <w:r w:rsidRPr="0066760C">
        <w:t xml:space="preserve">this unit must be assessed in the context of this sector’s work environment; </w:t>
      </w:r>
      <w:r w:rsidRPr="0066760C">
        <w:t>and,</w:t>
      </w:r>
    </w:p>
    <w:p w:rsidR="00000000" w:rsidRPr="0066760C" w:rsidP="0066760C">
      <w:pPr>
        <w:pStyle w:val="ListBullet"/>
      </w:pPr>
      <w:r w:rsidRPr="0066760C">
        <w:t>this unit must be assessed in compliance with relevant legislation/regulation and using policies, procedures, processes and operational manuals directly related to the industry sector for which it is being assessed; and,</w:t>
      </w:r>
    </w:p>
    <w:p w:rsidR="00000000" w:rsidRPr="0066760C" w:rsidP="0066760C">
      <w:pPr>
        <w:pStyle w:val="ListBullet"/>
      </w:pPr>
      <w:r w:rsidRPr="0066760C">
        <w:t>assessment may be conducted in</w:t>
      </w:r>
      <w:r w:rsidRPr="0066760C">
        <w:t xml:space="preserve"> conjunction with the assessment of other Units of Competency; and,</w:t>
      </w:r>
    </w:p>
    <w:p w:rsidR="00000000" w:rsidRPr="0066760C" w:rsidP="0066760C">
      <w:pPr>
        <w:pStyle w:val="ListBullet"/>
      </w:pPr>
      <w:r w:rsidRPr="0066760C">
        <w:t>assessment must confirm consistent performance can be applied in a range of relevant workplace circumstances; and,</w:t>
      </w:r>
    </w:p>
    <w:p w:rsidR="00000000" w:rsidRPr="0066760C" w:rsidP="0066760C">
      <w:pPr>
        <w:pStyle w:val="ListBullet"/>
      </w:pPr>
      <w:r w:rsidRPr="0066760C">
        <w:t>assessors must demonstrate the performance evidence, and knowledge eviden</w:t>
      </w:r>
      <w:r w:rsidRPr="0066760C">
        <w:t>ce as outlined in this Unit of Competency, and through the minimum years of current* work experience specified below in an Industry sector relevant to the outcomes of the unit; or,</w:t>
      </w:r>
    </w:p>
    <w:p w:rsidR="00000000" w:rsidRPr="0066760C" w:rsidP="0066760C">
      <w:pPr>
        <w:pStyle w:val="ListBullet"/>
      </w:pPr>
      <w:r w:rsidRPr="0066760C">
        <w:t>where the assessor does not meet experience requirements a co-assessment or</w:t>
      </w:r>
      <w:r w:rsidRPr="0066760C">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66760C">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66760C" w:rsidP="0066760C">
      <w:pPr>
        <w:pStyle w:val="ListBullet"/>
      </w:pPr>
      <w:r w:rsidRPr="0066760C">
        <w:t>asse</w:t>
      </w:r>
      <w:r w:rsidRPr="0066760C">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676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Heading4"/>
              <w:rPr>
                <w:lang w:val="en-NZ"/>
              </w:rPr>
            </w:pPr>
            <w:r w:rsidRPr="0066760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Heading4"/>
              <w:rPr>
                <w:lang w:val="en-NZ"/>
              </w:rPr>
            </w:pPr>
            <w:r w:rsidRPr="0066760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Heading4"/>
              <w:rPr>
                <w:lang w:val="en-NZ"/>
              </w:rPr>
            </w:pPr>
            <w:r w:rsidRPr="0066760C">
              <w:t>Required assessor or Industry su</w:t>
            </w:r>
            <w:r w:rsidRPr="0066760C">
              <w:t>bject matter expert experience</w:t>
            </w:r>
          </w:p>
        </w:tc>
      </w:tr>
      <w:tr w:rsidTr="0066760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BodyText"/>
              <w:rPr>
                <w:lang w:val="en-NZ"/>
              </w:rPr>
            </w:pPr>
            <w:r w:rsidRPr="0066760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BodyText"/>
              <w:rPr>
                <w:lang w:val="en-NZ"/>
              </w:rPr>
            </w:pPr>
            <w:r w:rsidRPr="0066760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BodyText"/>
              <w:rPr>
                <w:lang w:val="en-NZ"/>
              </w:rPr>
            </w:pPr>
            <w:r w:rsidRPr="0066760C">
              <w:t>1 Year</w:t>
            </w:r>
          </w:p>
        </w:tc>
      </w:tr>
      <w:tr w:rsidTr="0066760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BodyText"/>
              <w:rPr>
                <w:lang w:val="en-NZ"/>
              </w:rPr>
            </w:pPr>
            <w:r w:rsidRPr="0066760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BodyText"/>
              <w:rPr>
                <w:lang w:val="en-NZ"/>
              </w:rPr>
            </w:pPr>
            <w:r w:rsidRPr="0066760C">
              <w:t>2 Years</w:t>
            </w:r>
          </w:p>
        </w:tc>
      </w:tr>
      <w:tr w:rsidTr="006676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BodyText"/>
              <w:rPr>
                <w:lang w:val="en-NZ"/>
              </w:rPr>
            </w:pPr>
            <w:r w:rsidRPr="0066760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BodyText"/>
              <w:rPr>
                <w:lang w:val="en-NZ"/>
              </w:rPr>
            </w:pPr>
            <w:r w:rsidRPr="0066760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BodyText"/>
              <w:rPr>
                <w:lang w:val="en-NZ"/>
              </w:rPr>
            </w:pPr>
            <w:r w:rsidRPr="0066760C">
              <w:t>3 Years</w:t>
            </w:r>
          </w:p>
        </w:tc>
      </w:tr>
      <w:tr w:rsidTr="006676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BodyText"/>
              <w:rPr>
                <w:lang w:val="en-NZ"/>
              </w:rPr>
            </w:pPr>
            <w:r w:rsidRPr="0066760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BodyText"/>
              <w:rPr>
                <w:lang w:val="en-NZ"/>
              </w:rPr>
            </w:pPr>
            <w:r w:rsidRPr="0066760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BodyText"/>
              <w:rPr>
                <w:lang w:val="en-NZ"/>
              </w:rPr>
            </w:pPr>
            <w:r w:rsidRPr="0066760C">
              <w:t>5 Years</w:t>
            </w:r>
          </w:p>
        </w:tc>
      </w:tr>
      <w:tr w:rsidTr="006676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760C">
            <w:pPr>
              <w:pStyle w:val="BodyText"/>
              <w:rPr>
                <w:lang w:val="en-NZ"/>
              </w:rPr>
            </w:pPr>
            <w:r w:rsidRPr="0066760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760C" w:rsidP="0066760C">
            <w:pPr>
              <w:pStyle w:val="BodyText"/>
            </w:pPr>
            <w:r w:rsidRPr="0066760C">
              <w:t>Where this Unit is being assessed outside of the Resources and Infrastructure Sectors assessor and/or Industry subject matter expert experience should be in-line with industry standards for the sector in which it is being assessed an</w:t>
            </w:r>
            <w:r w:rsidRPr="0066760C">
              <w:t>d where no Industry standard is specified should comply with any relevant regulation.</w:t>
            </w:r>
          </w:p>
        </w:tc>
      </w:tr>
    </w:tbl>
    <w:p w:rsidR="00000000" w:rsidRPr="0066760C" w:rsidP="00B21EA4">
      <w:pPr>
        <w:pStyle w:val="BodyText"/>
      </w:pPr>
      <w:r w:rsidRPr="0066760C">
        <w:t>*Assessors can demonstrate current work experience through employment within Industry in a role relevant to the outcomes of the Unit; or, for external assessors this ca</w:t>
      </w:r>
      <w:r w:rsidRPr="0066760C">
        <w:t>n be demonstrated through exposure to Industry by conducting frequent site assessments across various locations.</w:t>
      </w:r>
    </w:p>
    <w:p w:rsidR="00B21EA4" w:rsidP="00B21EA4">
      <w:pPr>
        <w:pStyle w:val="BodyText"/>
      </w:pPr>
      <w:r w:rsidRPr="0066760C">
        <w:t xml:space="preserve">**Where a unit is being delivered outside of a Qualification the first numeric character in the Unit code should be considered to indicate the </w:t>
      </w:r>
      <w:r w:rsidRPr="0066760C">
        <w:t>AQF level</w:t>
      </w:r>
    </w:p>
    <w:p w:rsidR="00000000" w:rsidRPr="0066760C" w:rsidP="0066760C">
      <w:pPr>
        <w:pStyle w:val="Heading1"/>
      </w:pPr>
      <w:bookmarkStart w:id="12" w:name="O_690923"/>
      <w:bookmarkEnd w:id="12"/>
      <w:r w:rsidRPr="0066760C">
        <w:t>Links</w:t>
      </w:r>
    </w:p>
    <w:p w:rsidR="00000000" w:rsidRPr="0066760C" w:rsidP="00B21EA4">
      <w:pPr>
        <w:pStyle w:val="BodyText"/>
      </w:pPr>
      <w:r w:rsidRPr="0066760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2C89">
        <w:rPr>
          <w:rStyle w:val="Hyperlink"/>
        </w:rPr>
        <w:t>https://vetnet.gov.au/Pages/TrainingDocs.aspx?q=88a61002-9a21-4386-aaf8-69c76e675272</w:t>
      </w:r>
      <w:r>
        <w:fldChar w:fldCharType="end"/>
      </w:r>
    </w:p>
    <w:p w:rsidR="00000000" w:rsidRPr="0066760C" w:rsidP="0066760C"/>
    <w:sectPr w:rsidSect="006676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0C" w:rsidRPr="00B21EA4" w:rsidP="00B21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EA4" w:rsidP="00667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1EA4" w:rsidP="006676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21EA4" w:rsidP="006676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0C" w:rsidP="0066760C">
    <w:pPr>
      <w:pStyle w:val="Footer"/>
      <w:framePr w:wrap="around"/>
    </w:pPr>
    <w:r>
      <w:fldChar w:fldCharType="begin"/>
    </w:r>
    <w:r>
      <w:instrText xml:space="preserve"> DOCPROPERTY  Subject  \* MERGEFORMAT </w:instrText>
    </w:r>
    <w:r>
      <w:fldChar w:fldCharType="separate"/>
    </w:r>
    <w:r w:rsidR="00B21EA4">
      <w:t>Approved</w:t>
    </w:r>
    <w:r w:rsidR="00B21EA4">
      <w:fldChar w:fldCharType="end"/>
    </w:r>
    <w:r>
      <w:tab/>
      <w:t xml:space="preserve">Page </w:t>
    </w:r>
    <w:r>
      <w:fldChar w:fldCharType="begin"/>
    </w:r>
    <w:r>
      <w:instrText xml:space="preserve"> PAGE  \* Arabic  \* MERGEFORMAT </w:instrText>
    </w:r>
    <w:r>
      <w:fldChar w:fldCharType="separate"/>
    </w:r>
    <w:r w:rsidR="00B21E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1EA4">
      <w:rPr>
        <w:noProof/>
      </w:rPr>
      <w:t>5</w:t>
    </w:r>
    <w:r>
      <w:rPr>
        <w:noProof/>
      </w:rPr>
      <w:fldChar w:fldCharType="end"/>
    </w:r>
  </w:p>
  <w:p w:rsidR="0066760C" w:rsidP="0066760C">
    <w:pPr>
      <w:pStyle w:val="Footer"/>
      <w:framePr w:wrap="around"/>
    </w:pPr>
    <w:r>
      <w:t xml:space="preserve">© Commonwealth of Australia, </w:t>
    </w:r>
    <w:r>
      <w:fldChar w:fldCharType="begin"/>
    </w:r>
    <w:r>
      <w:instrText xml:space="preserve"> DATE  \@ "yyyy"  \* MERGEFORMAT </w:instrText>
    </w:r>
    <w:r>
      <w:fldChar w:fldCharType="separate"/>
    </w:r>
    <w:r w:rsidR="00B21EA4">
      <w:rPr>
        <w:noProof/>
      </w:rPr>
      <w:t>2025</w:t>
    </w:r>
    <w:r>
      <w:fldChar w:fldCharType="end"/>
    </w:r>
    <w:r>
      <w:tab/>
    </w:r>
    <w:r>
      <w:fldChar w:fldCharType="begin"/>
    </w:r>
    <w:r>
      <w:instrText xml:space="preserve"> DOCPROPERTY  Author  \* MERGEFORMAT </w:instrText>
    </w:r>
    <w:r>
      <w:fldChar w:fldCharType="separate"/>
    </w:r>
    <w:r w:rsidR="00B21EA4">
      <w:t>Mining and Automotive Skills Alliance</w:t>
    </w:r>
    <w:r w:rsidR="00B21EA4">
      <w:fldChar w:fldCharType="end"/>
    </w:r>
  </w:p>
  <w:p w:rsidR="0066760C" w:rsidP="006676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60C" w:rsidRPr="00B21EA4" w:rsidP="00B21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EA4" w:rsidRPr="002D2AF8" w:rsidP="0066760C">
    <w:pPr>
      <w:pStyle w:val="Header"/>
      <w:framePr w:wrap="around"/>
    </w:pPr>
    <w:r>
      <w:fldChar w:fldCharType="begin"/>
    </w:r>
    <w:r>
      <w:instrText xml:space="preserve"> TITLE   \* MERGEFORMAT </w:instrText>
    </w:r>
    <w:r>
      <w:fldChar w:fldCharType="separate"/>
    </w:r>
    <w:r>
      <w:t>RIIOGD205D Support blow out prevention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1EA4" w:rsidP="006676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0C" w:rsidRPr="002D2AF8" w:rsidP="0066760C">
    <w:pPr>
      <w:pStyle w:val="Header"/>
      <w:framePr w:wrap="around"/>
    </w:pPr>
    <w:r>
      <w:fldChar w:fldCharType="begin"/>
    </w:r>
    <w:r>
      <w:instrText xml:space="preserve"> TITLE   \* MERGEFORMAT </w:instrText>
    </w:r>
    <w:r>
      <w:fldChar w:fldCharType="separate"/>
    </w:r>
    <w:r w:rsidR="00B21EA4">
      <w:t>RIIOGD205D Support blow out prevention operations</w:t>
    </w:r>
    <w:r w:rsidR="00B21EA4">
      <w:fldChar w:fldCharType="end"/>
    </w:r>
    <w:r>
      <w:tab/>
      <w:t xml:space="preserve">Date this document was generated: </w:t>
    </w:r>
    <w:r>
      <w:fldChar w:fldCharType="begin"/>
    </w:r>
    <w:r>
      <w:instrText xml:space="preserve"> CREATEDATE  \@ "d MMMM yyyy"  \* MERGEFORMAT </w:instrText>
    </w:r>
    <w:r>
      <w:fldChar w:fldCharType="separate"/>
    </w:r>
    <w:r w:rsidR="00B21EA4">
      <w:rPr>
        <w:noProof/>
      </w:rPr>
      <w:t>2 March 2025</w:t>
    </w:r>
    <w:r>
      <w:fldChar w:fldCharType="end"/>
    </w:r>
  </w:p>
  <w:p w:rsidR="0066760C" w:rsidP="00667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F6D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324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5CE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60C"/>
    <w:pPr>
      <w:spacing w:before="360" w:after="60"/>
      <w:outlineLvl w:val="0"/>
    </w:pPr>
    <w:rPr>
      <w:sz w:val="32"/>
    </w:rPr>
  </w:style>
  <w:style w:type="paragraph" w:styleId="Heading2">
    <w:name w:val="heading 2"/>
    <w:basedOn w:val="HeadingBase"/>
    <w:next w:val="BodyText"/>
    <w:link w:val="Heading2Char"/>
    <w:qFormat/>
    <w:rsid w:val="0066760C"/>
    <w:pPr>
      <w:keepLines/>
      <w:spacing w:before="240" w:after="120"/>
      <w:outlineLvl w:val="1"/>
    </w:pPr>
    <w:rPr>
      <w:sz w:val="28"/>
      <w:szCs w:val="40"/>
    </w:rPr>
  </w:style>
  <w:style w:type="paragraph" w:styleId="Heading3">
    <w:name w:val="heading 3"/>
    <w:basedOn w:val="HeadingBase"/>
    <w:next w:val="BodyText"/>
    <w:link w:val="Heading3Char"/>
    <w:qFormat/>
    <w:rsid w:val="0066760C"/>
    <w:pPr>
      <w:spacing w:before="180" w:after="120"/>
      <w:outlineLvl w:val="2"/>
    </w:pPr>
    <w:rPr>
      <w:spacing w:val="-10"/>
      <w:kern w:val="32"/>
    </w:rPr>
  </w:style>
  <w:style w:type="paragraph" w:styleId="Heading4">
    <w:name w:val="heading 4"/>
    <w:basedOn w:val="HeadingBase"/>
    <w:next w:val="BodyText"/>
    <w:link w:val="Heading4Char"/>
    <w:qFormat/>
    <w:rsid w:val="0066760C"/>
    <w:pPr>
      <w:spacing w:before="160" w:after="120"/>
      <w:outlineLvl w:val="3"/>
    </w:pPr>
    <w:rPr>
      <w:sz w:val="22"/>
    </w:rPr>
  </w:style>
  <w:style w:type="paragraph" w:styleId="Heading5">
    <w:name w:val="heading 5"/>
    <w:basedOn w:val="HeadingBase"/>
    <w:next w:val="Normal"/>
    <w:link w:val="Heading5Char"/>
    <w:qFormat/>
    <w:rsid w:val="0066760C"/>
    <w:pPr>
      <w:spacing w:before="80"/>
      <w:outlineLvl w:val="4"/>
    </w:pPr>
    <w:rPr>
      <w:color w:val="918585"/>
      <w:sz w:val="20"/>
    </w:rPr>
  </w:style>
  <w:style w:type="paragraph" w:styleId="Heading6">
    <w:name w:val="heading 6"/>
    <w:basedOn w:val="HeadingBase"/>
    <w:next w:val="Normal"/>
    <w:link w:val="Heading6Char"/>
    <w:qFormat/>
    <w:rsid w:val="0066760C"/>
    <w:pPr>
      <w:spacing w:before="60"/>
      <w:outlineLvl w:val="5"/>
    </w:pPr>
    <w:rPr>
      <w:color w:val="918585"/>
      <w:sz w:val="20"/>
    </w:rPr>
  </w:style>
  <w:style w:type="paragraph" w:styleId="Heading7">
    <w:name w:val="heading 7"/>
    <w:basedOn w:val="Normal"/>
    <w:next w:val="Normal"/>
    <w:link w:val="Heading7Char"/>
    <w:qFormat/>
    <w:rsid w:val="0066760C"/>
    <w:pPr>
      <w:ind w:left="720"/>
      <w:outlineLvl w:val="6"/>
    </w:pPr>
    <w:rPr>
      <w:i/>
    </w:rPr>
  </w:style>
  <w:style w:type="paragraph" w:styleId="Heading8">
    <w:name w:val="heading 8"/>
    <w:basedOn w:val="Normal"/>
    <w:next w:val="Normal"/>
    <w:link w:val="Heading8Char"/>
    <w:qFormat/>
    <w:rsid w:val="0066760C"/>
    <w:pPr>
      <w:ind w:left="720"/>
      <w:outlineLvl w:val="7"/>
    </w:pPr>
    <w:rPr>
      <w:i/>
    </w:rPr>
  </w:style>
  <w:style w:type="paragraph" w:styleId="Heading9">
    <w:name w:val="heading 9"/>
    <w:basedOn w:val="Normal"/>
    <w:next w:val="Normal"/>
    <w:link w:val="Heading9Char"/>
    <w:qFormat/>
    <w:rsid w:val="0066760C"/>
    <w:pPr>
      <w:ind w:left="720"/>
      <w:outlineLvl w:val="8"/>
    </w:pPr>
    <w:rPr>
      <w:i/>
    </w:rPr>
  </w:style>
  <w:style w:type="character" w:default="1" w:styleId="DefaultParagraphFont">
    <w:name w:val="Default Paragraph Font"/>
    <w:uiPriority w:val="1"/>
    <w:unhideWhenUsed/>
    <w:rsid w:val="00667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60C"/>
  </w:style>
  <w:style w:type="character" w:customStyle="1" w:styleId="Heading1Char">
    <w:name w:val="Heading 1 Char"/>
    <w:basedOn w:val="DefaultParagraphFont"/>
    <w:link w:val="Heading1"/>
    <w:rsid w:val="0066760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6760C"/>
    <w:rPr>
      <w:rFonts w:ascii="Times New Roman" w:eastAsia="Times New Roman" w:hAnsi="Times New Roman" w:cs="Times New Roman"/>
      <w:b/>
      <w:szCs w:val="20"/>
      <w:lang w:eastAsia="en-US"/>
    </w:rPr>
  </w:style>
  <w:style w:type="paragraph" w:styleId="BodyText">
    <w:name w:val="Body Text"/>
    <w:basedOn w:val="Normal"/>
    <w:link w:val="BodyTextChar"/>
    <w:rsid w:val="006676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60C"/>
    <w:rPr>
      <w:rFonts w:ascii="Times New Roman" w:eastAsia="Times New Roman" w:hAnsi="Times New Roman" w:cs="Times New Roman"/>
      <w:sz w:val="24"/>
      <w:lang w:eastAsia="en-US"/>
    </w:rPr>
  </w:style>
  <w:style w:type="paragraph" w:styleId="ListBullet">
    <w:name w:val="List Bullet"/>
    <w:basedOn w:val="List"/>
    <w:rsid w:val="0066760C"/>
    <w:pPr>
      <w:numPr>
        <w:numId w:val="13"/>
      </w:numPr>
      <w:tabs>
        <w:tab w:val="clear" w:pos="340"/>
      </w:tabs>
      <w:spacing w:before="40" w:after="40"/>
    </w:pPr>
  </w:style>
  <w:style w:type="paragraph" w:styleId="ListBullet2">
    <w:name w:val="List Bullet 2"/>
    <w:basedOn w:val="List2"/>
    <w:rsid w:val="0066760C"/>
    <w:pPr>
      <w:numPr>
        <w:numId w:val="14"/>
      </w:numPr>
      <w:tabs>
        <w:tab w:val="clear" w:pos="680"/>
      </w:tabs>
    </w:pPr>
  </w:style>
  <w:style w:type="paragraph" w:customStyle="1" w:styleId="SuperHeading">
    <w:name w:val="SuperHeading"/>
    <w:basedOn w:val="Normal"/>
    <w:rsid w:val="0066760C"/>
    <w:pPr>
      <w:spacing w:before="240" w:after="120"/>
      <w:outlineLvl w:val="0"/>
    </w:pPr>
    <w:rPr>
      <w:rFonts w:ascii="Times New Roman" w:hAnsi="Times New Roman"/>
      <w:b/>
      <w:sz w:val="32"/>
    </w:rPr>
  </w:style>
  <w:style w:type="paragraph" w:customStyle="1" w:styleId="AllowPageBreak">
    <w:name w:val="AllowPageBreak"/>
    <w:rsid w:val="006676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760C"/>
    <w:pPr>
      <w:numPr>
        <w:numId w:val="3"/>
      </w:numPr>
      <w:tabs>
        <w:tab w:val="clear" w:pos="1021"/>
      </w:tabs>
      <w:ind w:left="1037" w:hanging="357"/>
    </w:pPr>
  </w:style>
  <w:style w:type="character" w:customStyle="1" w:styleId="Heading2Char">
    <w:name w:val="Heading 2 Char"/>
    <w:basedOn w:val="DefaultParagraphFont"/>
    <w:link w:val="Heading2"/>
    <w:rsid w:val="00667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60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67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60C"/>
    <w:rPr>
      <w:rFonts w:ascii="Courier New" w:eastAsia="Times New Roman" w:hAnsi="Courier New" w:cs="Times New Roman"/>
      <w:i/>
      <w:szCs w:val="20"/>
      <w:lang w:eastAsia="en-US"/>
    </w:rPr>
  </w:style>
  <w:style w:type="paragraph" w:customStyle="1" w:styleId="HeadingBase">
    <w:name w:val="Heading Base"/>
    <w:rsid w:val="00667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60C"/>
    <w:pPr>
      <w:tabs>
        <w:tab w:val="right" w:leader="dot" w:pos="9072"/>
      </w:tabs>
      <w:ind w:left="567"/>
    </w:pPr>
    <w:rPr>
      <w:szCs w:val="22"/>
    </w:rPr>
  </w:style>
  <w:style w:type="paragraph" w:customStyle="1" w:styleId="TOCBase">
    <w:name w:val="TOC Base"/>
    <w:rsid w:val="00667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60C"/>
    <w:pPr>
      <w:tabs>
        <w:tab w:val="right" w:leader="dot" w:pos="9072"/>
      </w:tabs>
      <w:spacing w:before="40" w:after="40"/>
      <w:ind w:left="284"/>
    </w:pPr>
    <w:rPr>
      <w:rFonts w:ascii="Times New Roman" w:hAnsi="Times New Roman"/>
    </w:rPr>
  </w:style>
  <w:style w:type="paragraph" w:styleId="TOC1">
    <w:name w:val="toc 1"/>
    <w:basedOn w:val="TOCBase"/>
    <w:next w:val="Normal"/>
    <w:rsid w:val="006676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60C"/>
    <w:rPr>
      <w:rFonts w:ascii="Times New Roman" w:eastAsia="Times New Roman" w:hAnsi="Times New Roman" w:cs="Times New Roman"/>
      <w:sz w:val="16"/>
      <w:lang w:eastAsia="en-US"/>
    </w:rPr>
  </w:style>
  <w:style w:type="paragraph" w:styleId="Title">
    <w:name w:val="Title"/>
    <w:basedOn w:val="HeadingBase"/>
    <w:link w:val="TitleChar"/>
    <w:qFormat/>
    <w:rsid w:val="0066760C"/>
    <w:pPr>
      <w:spacing w:before="5040"/>
      <w:jc w:val="center"/>
    </w:pPr>
    <w:rPr>
      <w:sz w:val="48"/>
      <w:szCs w:val="72"/>
      <w:lang w:val="en-US"/>
    </w:rPr>
  </w:style>
  <w:style w:type="character" w:customStyle="1" w:styleId="TitleChar">
    <w:name w:val="Title Char"/>
    <w:basedOn w:val="DefaultParagraphFont"/>
    <w:link w:val="Title"/>
    <w:rsid w:val="00667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60C"/>
    <w:pPr>
      <w:tabs>
        <w:tab w:val="left" w:pos="3600"/>
        <w:tab w:val="left" w:pos="3958"/>
      </w:tabs>
    </w:pPr>
  </w:style>
  <w:style w:type="paragraph" w:styleId="List">
    <w:name w:val="List"/>
    <w:basedOn w:val="BodyText"/>
    <w:next w:val="BodyText"/>
    <w:rsid w:val="0066760C"/>
    <w:pPr>
      <w:tabs>
        <w:tab w:val="left" w:pos="340"/>
      </w:tabs>
      <w:spacing w:before="60" w:after="60"/>
      <w:ind w:left="340" w:hanging="340"/>
    </w:pPr>
  </w:style>
  <w:style w:type="paragraph" w:customStyle="1" w:styleId="Note">
    <w:name w:val="Note"/>
    <w:basedOn w:val="BodyText"/>
    <w:rsid w:val="006676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760C"/>
    <w:rPr>
      <w:b/>
      <w:spacing w:val="0"/>
    </w:rPr>
  </w:style>
  <w:style w:type="paragraph" w:customStyle="1" w:styleId="SuperTitle">
    <w:name w:val="SuperTitle"/>
    <w:basedOn w:val="Title"/>
    <w:rsid w:val="0066760C"/>
    <w:pPr>
      <w:framePr w:wrap="auto" w:hAnchor="text" w:y="6049"/>
    </w:pPr>
    <w:rPr>
      <w:color w:val="000000"/>
      <w:sz w:val="40"/>
    </w:rPr>
  </w:style>
  <w:style w:type="paragraph" w:customStyle="1" w:styleId="TOCTitle">
    <w:name w:val="TOCTitle"/>
    <w:basedOn w:val="Heading1"/>
    <w:rsid w:val="0066760C"/>
    <w:pPr>
      <w:spacing w:after="240"/>
      <w:jc w:val="center"/>
      <w:outlineLvl w:val="9"/>
    </w:pPr>
    <w:rPr>
      <w:caps/>
    </w:rPr>
  </w:style>
  <w:style w:type="paragraph" w:customStyle="1" w:styleId="Version">
    <w:name w:val="Version"/>
    <w:rsid w:val="00667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60C"/>
    <w:pPr>
      <w:keepNext w:val="0"/>
      <w:tabs>
        <w:tab w:val="right" w:pos="4176"/>
      </w:tabs>
      <w:ind w:left="198" w:hanging="198"/>
    </w:pPr>
    <w:rPr>
      <w:rFonts w:ascii="Garamond" w:hAnsi="Garamond"/>
    </w:rPr>
  </w:style>
  <w:style w:type="paragraph" w:styleId="IndexHeading">
    <w:name w:val="index heading"/>
    <w:basedOn w:val="Normal"/>
    <w:next w:val="Index1"/>
    <w:semiHidden/>
    <w:rsid w:val="0066760C"/>
    <w:pPr>
      <w:spacing w:before="120" w:after="120"/>
    </w:pPr>
    <w:rPr>
      <w:rFonts w:ascii="Arial" w:hAnsi="Arial"/>
      <w:b/>
      <w:color w:val="918585"/>
      <w:sz w:val="24"/>
    </w:rPr>
  </w:style>
  <w:style w:type="paragraph" w:styleId="Header">
    <w:name w:val="header"/>
    <w:basedOn w:val="Normal"/>
    <w:link w:val="HeaderChar"/>
    <w:rsid w:val="00667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60C"/>
    <w:rPr>
      <w:rFonts w:ascii="Times New Roman" w:eastAsia="Times New Roman" w:hAnsi="Times New Roman" w:cs="Times New Roman"/>
      <w:sz w:val="16"/>
      <w:szCs w:val="20"/>
      <w:lang w:val="en-GB" w:eastAsia="en-US"/>
    </w:rPr>
  </w:style>
  <w:style w:type="paragraph" w:customStyle="1" w:styleId="Chapter">
    <w:name w:val="Chapter"/>
    <w:basedOn w:val="Normal"/>
    <w:rsid w:val="0066760C"/>
    <w:pPr>
      <w:spacing w:before="240"/>
    </w:pPr>
    <w:rPr>
      <w:rFonts w:ascii="Times New Roman" w:hAnsi="Times New Roman"/>
      <w:smallCaps/>
      <w:spacing w:val="80"/>
      <w:sz w:val="28"/>
    </w:rPr>
  </w:style>
  <w:style w:type="paragraph" w:customStyle="1" w:styleId="InChapter">
    <w:name w:val="InChapter"/>
    <w:basedOn w:val="Heading3"/>
    <w:rsid w:val="0066760C"/>
    <w:pPr>
      <w:spacing w:after="240"/>
      <w:outlineLvl w:val="9"/>
    </w:pPr>
    <w:rPr>
      <w:noProof/>
    </w:rPr>
  </w:style>
  <w:style w:type="paragraph" w:styleId="Index2">
    <w:name w:val="index 2"/>
    <w:basedOn w:val="Normal"/>
    <w:next w:val="Normal"/>
    <w:semiHidden/>
    <w:rsid w:val="0066760C"/>
    <w:pPr>
      <w:tabs>
        <w:tab w:val="right" w:pos="4176"/>
      </w:tabs>
      <w:ind w:left="568" w:hanging="284"/>
    </w:pPr>
    <w:rPr>
      <w:rFonts w:ascii="Garamond" w:hAnsi="Garamond"/>
    </w:rPr>
  </w:style>
  <w:style w:type="paragraph" w:customStyle="1" w:styleId="Byline">
    <w:name w:val="Byline"/>
    <w:rsid w:val="00667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60C"/>
    <w:pPr>
      <w:tabs>
        <w:tab w:val="clear" w:pos="3600"/>
        <w:tab w:val="clear" w:pos="3958"/>
      </w:tabs>
      <w:jc w:val="right"/>
    </w:pPr>
  </w:style>
  <w:style w:type="character" w:styleId="Emphasis">
    <w:name w:val="Emphasis"/>
    <w:basedOn w:val="DefaultParagraphFont"/>
    <w:qFormat/>
    <w:rsid w:val="0066760C"/>
    <w:rPr>
      <w:i/>
    </w:rPr>
  </w:style>
  <w:style w:type="paragraph" w:styleId="Caption">
    <w:name w:val="caption"/>
    <w:basedOn w:val="BodyText"/>
    <w:next w:val="Normal"/>
    <w:qFormat/>
    <w:rsid w:val="0066760C"/>
    <w:pPr>
      <w:framePr w:w="2268" w:hSpace="181" w:vSpace="181" w:wrap="around" w:vAnchor="text" w:hAnchor="page" w:x="1135" w:y="285" w:anchorLock="1"/>
    </w:pPr>
    <w:rPr>
      <w:i/>
    </w:rPr>
  </w:style>
  <w:style w:type="paragraph" w:customStyle="1" w:styleId="MiniTOCTitle">
    <w:name w:val="MiniTOCTitle"/>
    <w:basedOn w:val="Heading4"/>
    <w:rsid w:val="0066760C"/>
    <w:pPr>
      <w:spacing w:before="240"/>
      <w:outlineLvl w:val="9"/>
    </w:pPr>
    <w:rPr>
      <w:noProof/>
      <w:sz w:val="24"/>
    </w:rPr>
  </w:style>
  <w:style w:type="paragraph" w:customStyle="1" w:styleId="MiniTOCItem">
    <w:name w:val="MiniTOCItem"/>
    <w:basedOn w:val="ListBullet"/>
    <w:rsid w:val="0066760C"/>
    <w:pPr>
      <w:numPr>
        <w:numId w:val="0"/>
      </w:numPr>
      <w:tabs>
        <w:tab w:val="right" w:leader="dot" w:pos="6521"/>
      </w:tabs>
      <w:spacing w:before="0" w:after="0"/>
    </w:pPr>
  </w:style>
  <w:style w:type="paragraph" w:customStyle="1" w:styleId="TOFTitle">
    <w:name w:val="TOFTitle"/>
    <w:basedOn w:val="TOCTitle"/>
    <w:rsid w:val="0066760C"/>
  </w:style>
  <w:style w:type="paragraph" w:styleId="TableofFigures">
    <w:name w:val="table of figures"/>
    <w:basedOn w:val="Normal"/>
    <w:next w:val="Normal"/>
    <w:semiHidden/>
    <w:rsid w:val="0066760C"/>
    <w:pPr>
      <w:tabs>
        <w:tab w:val="right" w:leader="dot" w:pos="9072"/>
      </w:tabs>
      <w:ind w:left="970" w:hanging="403"/>
    </w:pPr>
    <w:rPr>
      <w:rFonts w:ascii="Times New Roman" w:hAnsi="Times New Roman"/>
      <w:b/>
    </w:rPr>
  </w:style>
  <w:style w:type="paragraph" w:styleId="ListNumber">
    <w:name w:val="List Number"/>
    <w:basedOn w:val="List"/>
    <w:rsid w:val="0066760C"/>
    <w:pPr>
      <w:numPr>
        <w:numId w:val="16"/>
      </w:numPr>
      <w:tabs>
        <w:tab w:val="clear" w:pos="340"/>
      </w:tabs>
    </w:pPr>
  </w:style>
  <w:style w:type="character" w:customStyle="1" w:styleId="WingdingSymbols">
    <w:name w:val="Wingding Symbols"/>
    <w:rsid w:val="0066760C"/>
    <w:rPr>
      <w:rFonts w:ascii="Wingdings" w:hAnsi="Wingdings"/>
    </w:rPr>
  </w:style>
  <w:style w:type="paragraph" w:customStyle="1" w:styleId="TableHeading">
    <w:name w:val="Table Heading"/>
    <w:basedOn w:val="HeadingBase"/>
    <w:rsid w:val="0066760C"/>
    <w:pPr>
      <w:keepLines/>
      <w:pBdr>
        <w:bottom w:val="single" w:sz="6" w:space="1" w:color="918585"/>
      </w:pBdr>
      <w:spacing w:before="240"/>
    </w:pPr>
  </w:style>
  <w:style w:type="character" w:customStyle="1" w:styleId="HotSpot">
    <w:name w:val="HotSpot"/>
    <w:rsid w:val="0066760C"/>
    <w:rPr>
      <w:color w:val="0033CC"/>
      <w:u w:val="none"/>
    </w:rPr>
  </w:style>
  <w:style w:type="paragraph" w:customStyle="1" w:styleId="BodyTextRight">
    <w:name w:val="Body Text Right"/>
    <w:basedOn w:val="BodyText"/>
    <w:rsid w:val="0066760C"/>
    <w:pPr>
      <w:spacing w:before="0" w:after="0"/>
      <w:jc w:val="right"/>
    </w:pPr>
  </w:style>
  <w:style w:type="paragraph" w:styleId="Index3">
    <w:name w:val="index 3"/>
    <w:basedOn w:val="ListNumber2"/>
    <w:next w:val="Normal"/>
    <w:semiHidden/>
    <w:rsid w:val="0066760C"/>
    <w:pPr>
      <w:numPr>
        <w:numId w:val="0"/>
      </w:numPr>
      <w:tabs>
        <w:tab w:val="right" w:leader="dot" w:pos="4176"/>
      </w:tabs>
    </w:pPr>
  </w:style>
  <w:style w:type="paragraph" w:styleId="ListNumber2">
    <w:name w:val="List Number 2"/>
    <w:basedOn w:val="List2"/>
    <w:rsid w:val="0066760C"/>
    <w:pPr>
      <w:numPr>
        <w:numId w:val="11"/>
      </w:numPr>
      <w:tabs>
        <w:tab w:val="clear" w:pos="1060"/>
      </w:tabs>
    </w:pPr>
  </w:style>
  <w:style w:type="paragraph" w:customStyle="1" w:styleId="MarginNote">
    <w:name w:val="Margin Note"/>
    <w:basedOn w:val="BodyText"/>
    <w:rsid w:val="00667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60C"/>
    <w:rPr>
      <w:sz w:val="32"/>
    </w:rPr>
  </w:style>
  <w:style w:type="paragraph" w:customStyle="1" w:styleId="HeadingProcedure">
    <w:name w:val="Heading Procedure"/>
    <w:basedOn w:val="HeadingBase"/>
    <w:next w:val="Normal"/>
    <w:rsid w:val="0066760C"/>
    <w:pPr>
      <w:tabs>
        <w:tab w:val="left" w:pos="0"/>
      </w:tabs>
      <w:spacing w:before="120" w:after="60"/>
    </w:pPr>
    <w:rPr>
      <w:i/>
      <w:color w:val="918585"/>
      <w:sz w:val="22"/>
    </w:rPr>
  </w:style>
  <w:style w:type="paragraph" w:customStyle="1" w:styleId="TableBodyText">
    <w:name w:val="Table Body Text"/>
    <w:basedOn w:val="BodyText"/>
    <w:rsid w:val="0066760C"/>
    <w:pPr>
      <w:spacing w:before="60" w:after="60"/>
    </w:pPr>
  </w:style>
  <w:style w:type="paragraph" w:styleId="ListContinue">
    <w:name w:val="List Continue"/>
    <w:basedOn w:val="List"/>
    <w:rsid w:val="0066760C"/>
    <w:pPr>
      <w:ind w:firstLine="0"/>
    </w:pPr>
  </w:style>
  <w:style w:type="paragraph" w:customStyle="1" w:styleId="ListNote">
    <w:name w:val="List Note"/>
    <w:basedOn w:val="List"/>
    <w:rsid w:val="0066760C"/>
    <w:pPr>
      <w:pBdr>
        <w:top w:val="single" w:sz="6" w:space="2" w:color="918585"/>
        <w:bottom w:val="single" w:sz="6" w:space="2" w:color="918585"/>
      </w:pBdr>
      <w:tabs>
        <w:tab w:val="left" w:pos="1021"/>
      </w:tabs>
      <w:ind w:firstLine="0"/>
    </w:pPr>
  </w:style>
  <w:style w:type="paragraph" w:customStyle="1" w:styleId="Warning">
    <w:name w:val="Warning"/>
    <w:basedOn w:val="BodyText"/>
    <w:rsid w:val="0066760C"/>
    <w:pPr>
      <w:shd w:val="clear" w:color="auto" w:fill="D9D9D9"/>
      <w:tabs>
        <w:tab w:val="left" w:pos="992"/>
      </w:tabs>
      <w:ind w:left="119" w:right="119"/>
    </w:pPr>
    <w:rPr>
      <w:sz w:val="20"/>
    </w:rPr>
  </w:style>
  <w:style w:type="paragraph" w:customStyle="1" w:styleId="MarginIcons">
    <w:name w:val="Margin Icons"/>
    <w:basedOn w:val="BodyText"/>
    <w:rsid w:val="00667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60C"/>
    <w:rPr>
      <w:rFonts w:ascii="Courier New" w:hAnsi="Courier New"/>
    </w:rPr>
  </w:style>
  <w:style w:type="paragraph" w:customStyle="1" w:styleId="NoteBullet">
    <w:name w:val="Note Bullet"/>
    <w:basedOn w:val="Note"/>
    <w:rsid w:val="0066760C"/>
    <w:pPr>
      <w:tabs>
        <w:tab w:val="clear" w:pos="680"/>
      </w:tabs>
      <w:spacing w:before="60" w:after="60"/>
    </w:pPr>
  </w:style>
  <w:style w:type="paragraph" w:customStyle="1" w:styleId="SubHeading2">
    <w:name w:val="SubHeading2"/>
    <w:basedOn w:val="HeadingBase"/>
    <w:rsid w:val="0066760C"/>
    <w:pPr>
      <w:spacing w:before="240" w:after="60"/>
    </w:pPr>
    <w:rPr>
      <w:sz w:val="20"/>
    </w:rPr>
  </w:style>
  <w:style w:type="paragraph" w:customStyle="1" w:styleId="SubHeading1">
    <w:name w:val="SubHeading1"/>
    <w:basedOn w:val="HeadingBase"/>
    <w:rsid w:val="0066760C"/>
    <w:pPr>
      <w:spacing w:before="240" w:after="60"/>
    </w:pPr>
    <w:rPr>
      <w:color w:val="918585"/>
      <w:sz w:val="22"/>
    </w:rPr>
  </w:style>
  <w:style w:type="paragraph" w:customStyle="1" w:styleId="SideHeading">
    <w:name w:val="Side Heading"/>
    <w:basedOn w:val="HeadingBase"/>
    <w:rsid w:val="00667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60C"/>
    <w:pPr>
      <w:numPr>
        <w:numId w:val="12"/>
      </w:numPr>
    </w:pPr>
  </w:style>
  <w:style w:type="paragraph" w:styleId="PlainText">
    <w:name w:val="Plain Text"/>
    <w:basedOn w:val="Normal"/>
    <w:link w:val="PlainTextChar"/>
    <w:rsid w:val="0066760C"/>
    <w:rPr>
      <w:sz w:val="20"/>
    </w:rPr>
  </w:style>
  <w:style w:type="character" w:customStyle="1" w:styleId="PlainTextChar">
    <w:name w:val="Plain Text Char"/>
    <w:basedOn w:val="DefaultParagraphFont"/>
    <w:link w:val="PlainText"/>
    <w:rsid w:val="0066760C"/>
    <w:rPr>
      <w:rFonts w:ascii="Courier New" w:eastAsia="Times New Roman" w:hAnsi="Courier New" w:cs="Times New Roman"/>
      <w:sz w:val="20"/>
      <w:szCs w:val="20"/>
      <w:lang w:eastAsia="en-US"/>
    </w:rPr>
  </w:style>
  <w:style w:type="character" w:customStyle="1" w:styleId="MenuOption">
    <w:name w:val="Menu Option"/>
    <w:basedOn w:val="DefaultParagraphFont"/>
    <w:rsid w:val="0066760C"/>
    <w:rPr>
      <w:b/>
      <w:smallCaps/>
    </w:rPr>
  </w:style>
  <w:style w:type="paragraph" w:customStyle="1" w:styleId="TableListNumber">
    <w:name w:val="Table List Number"/>
    <w:basedOn w:val="ListNumber"/>
    <w:rsid w:val="0066760C"/>
    <w:pPr>
      <w:numPr>
        <w:numId w:val="0"/>
      </w:numPr>
    </w:pPr>
  </w:style>
  <w:style w:type="paragraph" w:styleId="TOC4">
    <w:name w:val="toc 4"/>
    <w:basedOn w:val="TOCBase"/>
    <w:next w:val="Normal"/>
    <w:semiHidden/>
    <w:rsid w:val="0066760C"/>
    <w:pPr>
      <w:tabs>
        <w:tab w:val="right" w:leader="dot" w:pos="9071"/>
      </w:tabs>
      <w:ind w:left="1701"/>
    </w:pPr>
  </w:style>
  <w:style w:type="paragraph" w:customStyle="1" w:styleId="ListAlpha">
    <w:name w:val="List Alpha"/>
    <w:basedOn w:val="List"/>
    <w:rsid w:val="0066760C"/>
    <w:pPr>
      <w:numPr>
        <w:numId w:val="10"/>
      </w:numPr>
    </w:pPr>
  </w:style>
  <w:style w:type="paragraph" w:customStyle="1" w:styleId="ListAlpha2">
    <w:name w:val="List Alpha 2"/>
    <w:basedOn w:val="List2"/>
    <w:rsid w:val="0066760C"/>
    <w:pPr>
      <w:numPr>
        <w:numId w:val="9"/>
      </w:numPr>
    </w:pPr>
  </w:style>
  <w:style w:type="paragraph" w:styleId="List2">
    <w:name w:val="List 2"/>
    <w:basedOn w:val="BodyText"/>
    <w:rsid w:val="0066760C"/>
    <w:pPr>
      <w:tabs>
        <w:tab w:val="left" w:pos="680"/>
      </w:tabs>
      <w:spacing w:before="60" w:after="60"/>
      <w:ind w:left="680" w:hanging="340"/>
    </w:pPr>
  </w:style>
  <w:style w:type="paragraph" w:styleId="List3">
    <w:name w:val="List 3"/>
    <w:basedOn w:val="BodyText"/>
    <w:rsid w:val="0066760C"/>
    <w:pPr>
      <w:tabs>
        <w:tab w:val="left" w:pos="1021"/>
      </w:tabs>
      <w:spacing w:before="60" w:after="60"/>
      <w:ind w:left="1020" w:hanging="340"/>
    </w:pPr>
  </w:style>
  <w:style w:type="paragraph" w:styleId="List4">
    <w:name w:val="List 4"/>
    <w:basedOn w:val="BodyText"/>
    <w:rsid w:val="0066760C"/>
    <w:pPr>
      <w:tabs>
        <w:tab w:val="left" w:pos="1361"/>
      </w:tabs>
      <w:spacing w:before="60" w:after="60"/>
      <w:ind w:left="1361" w:hanging="340"/>
    </w:pPr>
  </w:style>
  <w:style w:type="paragraph" w:styleId="List5">
    <w:name w:val="List 5"/>
    <w:basedOn w:val="BodyText"/>
    <w:rsid w:val="0066760C"/>
    <w:pPr>
      <w:tabs>
        <w:tab w:val="left" w:pos="1701"/>
      </w:tabs>
      <w:spacing w:before="60" w:after="60"/>
      <w:ind w:left="1701" w:hanging="340"/>
    </w:pPr>
  </w:style>
  <w:style w:type="paragraph" w:styleId="ListBullet4">
    <w:name w:val="List Bullet 4"/>
    <w:basedOn w:val="List4"/>
    <w:rsid w:val="0066760C"/>
    <w:pPr>
      <w:numPr>
        <w:numId w:val="4"/>
      </w:numPr>
      <w:tabs>
        <w:tab w:val="clear" w:pos="1361"/>
      </w:tabs>
    </w:pPr>
  </w:style>
  <w:style w:type="paragraph" w:styleId="ListBullet5">
    <w:name w:val="List Bullet 5"/>
    <w:basedOn w:val="List5"/>
    <w:rsid w:val="0066760C"/>
    <w:pPr>
      <w:numPr>
        <w:numId w:val="5"/>
      </w:numPr>
    </w:pPr>
  </w:style>
  <w:style w:type="paragraph" w:styleId="ListContinue2">
    <w:name w:val="List Continue 2"/>
    <w:basedOn w:val="List2"/>
    <w:rsid w:val="0066760C"/>
    <w:pPr>
      <w:ind w:firstLine="0"/>
    </w:pPr>
  </w:style>
  <w:style w:type="paragraph" w:styleId="ListContinue3">
    <w:name w:val="List Continue 3"/>
    <w:basedOn w:val="List3"/>
    <w:rsid w:val="0066760C"/>
    <w:pPr>
      <w:ind w:left="1021" w:firstLine="0"/>
    </w:pPr>
  </w:style>
  <w:style w:type="paragraph" w:styleId="ListContinue4">
    <w:name w:val="List Continue 4"/>
    <w:basedOn w:val="List4"/>
    <w:rsid w:val="0066760C"/>
    <w:pPr>
      <w:ind w:firstLine="0"/>
    </w:pPr>
  </w:style>
  <w:style w:type="paragraph" w:styleId="ListContinue5">
    <w:name w:val="List Continue 5"/>
    <w:basedOn w:val="List5"/>
    <w:rsid w:val="0066760C"/>
    <w:pPr>
      <w:ind w:firstLine="0"/>
    </w:pPr>
  </w:style>
  <w:style w:type="paragraph" w:styleId="ListNumber3">
    <w:name w:val="List Number 3"/>
    <w:basedOn w:val="List3"/>
    <w:rsid w:val="0066760C"/>
    <w:pPr>
      <w:numPr>
        <w:numId w:val="6"/>
      </w:numPr>
    </w:pPr>
  </w:style>
  <w:style w:type="paragraph" w:styleId="ListNumber4">
    <w:name w:val="List Number 4"/>
    <w:basedOn w:val="List4"/>
    <w:rsid w:val="0066760C"/>
    <w:pPr>
      <w:numPr>
        <w:numId w:val="7"/>
      </w:numPr>
    </w:pPr>
  </w:style>
  <w:style w:type="paragraph" w:styleId="ListNumber5">
    <w:name w:val="List Number 5"/>
    <w:basedOn w:val="List5"/>
    <w:rsid w:val="0066760C"/>
    <w:pPr>
      <w:numPr>
        <w:numId w:val="8"/>
      </w:numPr>
    </w:pPr>
  </w:style>
  <w:style w:type="paragraph" w:styleId="BlockText">
    <w:name w:val="Block Text"/>
    <w:basedOn w:val="Normal"/>
    <w:rsid w:val="0066760C"/>
    <w:pPr>
      <w:spacing w:after="120"/>
      <w:ind w:left="1440" w:right="1440"/>
    </w:pPr>
  </w:style>
  <w:style w:type="character" w:customStyle="1" w:styleId="Subscript">
    <w:name w:val="Subscript"/>
    <w:basedOn w:val="DefaultParagraphFont"/>
    <w:rsid w:val="0066760C"/>
    <w:rPr>
      <w:sz w:val="16"/>
      <w:vertAlign w:val="subscript"/>
    </w:rPr>
  </w:style>
  <w:style w:type="character" w:customStyle="1" w:styleId="Superscript">
    <w:name w:val="Superscript"/>
    <w:basedOn w:val="DefaultParagraphFont"/>
    <w:rsid w:val="0066760C"/>
    <w:rPr>
      <w:sz w:val="16"/>
      <w:vertAlign w:val="superscript"/>
    </w:rPr>
  </w:style>
  <w:style w:type="character" w:customStyle="1" w:styleId="Symbols">
    <w:name w:val="Symbols"/>
    <w:basedOn w:val="DefaultParagraphFont"/>
    <w:rsid w:val="0066760C"/>
    <w:rPr>
      <w:rFonts w:ascii="Symbol" w:hAnsi="Symbol"/>
    </w:rPr>
  </w:style>
  <w:style w:type="character" w:customStyle="1" w:styleId="MenuOptions">
    <w:name w:val="Menu Options"/>
    <w:basedOn w:val="DefaultParagraphFont"/>
    <w:rsid w:val="0066760C"/>
    <w:rPr>
      <w:rFonts w:ascii="Arial Narrow" w:hAnsi="Arial Narrow"/>
      <w:smallCaps/>
    </w:rPr>
  </w:style>
  <w:style w:type="character" w:customStyle="1" w:styleId="Buttons">
    <w:name w:val="Buttons"/>
    <w:basedOn w:val="DefaultParagraphFont"/>
    <w:rsid w:val="0066760C"/>
    <w:rPr>
      <w:b/>
    </w:rPr>
  </w:style>
  <w:style w:type="character" w:customStyle="1" w:styleId="Underlined">
    <w:name w:val="Underlined"/>
    <w:basedOn w:val="DefaultParagraphFont"/>
    <w:rsid w:val="0066760C"/>
    <w:rPr>
      <w:u w:val="single"/>
    </w:rPr>
  </w:style>
  <w:style w:type="paragraph" w:customStyle="1" w:styleId="TableBodyTextRight">
    <w:name w:val="Table Body Text Right"/>
    <w:basedOn w:val="TableBodyText"/>
    <w:rsid w:val="0066760C"/>
    <w:pPr>
      <w:widowControl w:val="0"/>
      <w:autoSpaceDE w:val="0"/>
      <w:autoSpaceDN w:val="0"/>
      <w:adjustRightInd w:val="0"/>
      <w:jc w:val="right"/>
    </w:pPr>
    <w:rPr>
      <w:rFonts w:cs="Arial"/>
      <w:szCs w:val="18"/>
    </w:rPr>
  </w:style>
  <w:style w:type="paragraph" w:customStyle="1" w:styleId="CopyrightText">
    <w:name w:val="Copyright Text"/>
    <w:basedOn w:val="BodyText"/>
    <w:rsid w:val="0066760C"/>
    <w:rPr>
      <w:sz w:val="18"/>
    </w:rPr>
  </w:style>
  <w:style w:type="paragraph" w:customStyle="1" w:styleId="BodySmallRight">
    <w:name w:val="Body Small Right"/>
    <w:basedOn w:val="BodyTextRight"/>
    <w:rsid w:val="0066760C"/>
    <w:rPr>
      <w:sz w:val="18"/>
      <w:szCs w:val="18"/>
    </w:rPr>
  </w:style>
  <w:style w:type="paragraph" w:customStyle="1" w:styleId="MarginEdition">
    <w:name w:val="Margin Edition"/>
    <w:basedOn w:val="MarginNote"/>
    <w:rsid w:val="0066760C"/>
    <w:pPr>
      <w:spacing w:before="0" w:after="0"/>
    </w:pPr>
    <w:rPr>
      <w:rFonts w:ascii="Times New Roman" w:hAnsi="Times New Roman"/>
      <w:color w:val="999999"/>
    </w:rPr>
  </w:style>
  <w:style w:type="paragraph" w:customStyle="1" w:styleId="Spacer">
    <w:name w:val="Spacer"/>
    <w:basedOn w:val="Normal"/>
    <w:rsid w:val="0066760C"/>
    <w:rPr>
      <w:sz w:val="2"/>
      <w:szCs w:val="2"/>
    </w:rPr>
  </w:style>
  <w:style w:type="character" w:customStyle="1" w:styleId="Small">
    <w:name w:val="Small"/>
    <w:basedOn w:val="DefaultParagraphFont"/>
    <w:rsid w:val="0066760C"/>
    <w:rPr>
      <w:sz w:val="16"/>
    </w:rPr>
  </w:style>
  <w:style w:type="paragraph" w:customStyle="1" w:styleId="WideTable">
    <w:name w:val="Wide Table"/>
    <w:basedOn w:val="Normal"/>
    <w:rsid w:val="0066760C"/>
    <w:pPr>
      <w:ind w:left="-1418"/>
    </w:pPr>
    <w:rPr>
      <w:sz w:val="2"/>
      <w:szCs w:val="2"/>
    </w:rPr>
  </w:style>
  <w:style w:type="character" w:styleId="PageNumber">
    <w:name w:val="page number"/>
    <w:basedOn w:val="DefaultParagraphFont"/>
    <w:rsid w:val="0066760C"/>
  </w:style>
  <w:style w:type="paragraph" w:styleId="Quote">
    <w:name w:val="Quote"/>
    <w:basedOn w:val="Heading1"/>
    <w:link w:val="QuoteChar"/>
    <w:qFormat/>
    <w:rsid w:val="0066760C"/>
    <w:rPr>
      <w:b w:val="0"/>
      <w:sz w:val="72"/>
      <w:szCs w:val="72"/>
      <w:lang w:val="en-NZ"/>
    </w:rPr>
  </w:style>
  <w:style w:type="character" w:customStyle="1" w:styleId="QuoteChar">
    <w:name w:val="Quote Char"/>
    <w:basedOn w:val="DefaultParagraphFont"/>
    <w:link w:val="Quote"/>
    <w:rsid w:val="00667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60C"/>
    <w:pPr>
      <w:pageBreakBefore/>
    </w:pPr>
  </w:style>
  <w:style w:type="paragraph" w:customStyle="1" w:styleId="Border">
    <w:name w:val="Border"/>
    <w:basedOn w:val="Normal"/>
    <w:qFormat/>
    <w:rsid w:val="00667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60C"/>
    <w:rPr>
      <w:b/>
      <w:bCs/>
      <w:i/>
      <w:iCs/>
      <w:color w:val="auto"/>
    </w:rPr>
  </w:style>
  <w:style w:type="paragraph" w:styleId="IntenseQuote">
    <w:name w:val="Intense Quote"/>
    <w:basedOn w:val="Normal"/>
    <w:next w:val="Normal"/>
    <w:link w:val="IntenseQuoteChar"/>
    <w:uiPriority w:val="30"/>
    <w:qFormat/>
    <w:rsid w:val="00667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60C"/>
    <w:rPr>
      <w:smallCaps/>
      <w:color w:val="auto"/>
      <w:u w:val="single"/>
    </w:rPr>
  </w:style>
  <w:style w:type="character" w:styleId="IntenseReference">
    <w:name w:val="Intense Reference"/>
    <w:basedOn w:val="DefaultParagraphFont"/>
    <w:uiPriority w:val="32"/>
    <w:qFormat/>
    <w:rsid w:val="0066760C"/>
    <w:rPr>
      <w:b/>
      <w:bCs/>
      <w:smallCaps/>
      <w:color w:val="auto"/>
      <w:spacing w:val="5"/>
      <w:u w:val="single"/>
    </w:rPr>
  </w:style>
  <w:style w:type="paragraph" w:customStyle="1" w:styleId="2ColumnHeading">
    <w:name w:val="2Column Heading"/>
    <w:basedOn w:val="BodyText"/>
    <w:qFormat/>
    <w:rsid w:val="0066760C"/>
    <w:pPr>
      <w:spacing w:after="60"/>
      <w:ind w:left="-2268"/>
    </w:pPr>
    <w:rPr>
      <w:b/>
    </w:rPr>
  </w:style>
  <w:style w:type="paragraph" w:customStyle="1" w:styleId="Heading1TOC">
    <w:name w:val="Heading1 TOC"/>
    <w:basedOn w:val="Normal"/>
    <w:qFormat/>
    <w:rsid w:val="0066760C"/>
    <w:pPr>
      <w:spacing w:before="240" w:after="120"/>
    </w:pPr>
    <w:rPr>
      <w:rFonts w:ascii="Times New Roman" w:hAnsi="Times New Roman"/>
      <w:b/>
      <w:sz w:val="32"/>
    </w:rPr>
  </w:style>
  <w:style w:type="paragraph" w:customStyle="1" w:styleId="Heading2TOC">
    <w:name w:val="Heading2 TOC"/>
    <w:basedOn w:val="Normal"/>
    <w:qFormat/>
    <w:rsid w:val="0066760C"/>
    <w:pPr>
      <w:spacing w:before="240" w:after="60"/>
    </w:pPr>
    <w:rPr>
      <w:rFonts w:ascii="Times New Roman" w:hAnsi="Times New Roman"/>
      <w:b/>
      <w:sz w:val="28"/>
    </w:rPr>
  </w:style>
  <w:style w:type="character" w:customStyle="1" w:styleId="Underline">
    <w:name w:val="Underline"/>
    <w:basedOn w:val="DefaultParagraphFont"/>
    <w:qFormat/>
    <w:rsid w:val="0066760C"/>
    <w:rPr>
      <w:u w:val="single"/>
    </w:rPr>
  </w:style>
  <w:style w:type="character" w:customStyle="1" w:styleId="BoldandItalics">
    <w:name w:val="Bold and Italics"/>
    <w:qFormat/>
    <w:rsid w:val="0066760C"/>
    <w:rPr>
      <w:b/>
      <w:i/>
      <w:u w:val="none"/>
    </w:rPr>
  </w:style>
  <w:style w:type="paragraph" w:styleId="BalloonText">
    <w:name w:val="Balloon Text"/>
    <w:basedOn w:val="Normal"/>
    <w:link w:val="BalloonTextChar"/>
    <w:rsid w:val="0066760C"/>
    <w:rPr>
      <w:rFonts w:ascii="Tahoma" w:hAnsi="Tahoma" w:cs="Tahoma"/>
      <w:sz w:val="16"/>
      <w:szCs w:val="16"/>
    </w:rPr>
  </w:style>
  <w:style w:type="character" w:customStyle="1" w:styleId="BalloonTextChar">
    <w:name w:val="Balloon Text Char"/>
    <w:basedOn w:val="DefaultParagraphFont"/>
    <w:link w:val="BalloonText"/>
    <w:rsid w:val="00667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6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60C"/>
    <w:rPr>
      <w:b/>
      <w:color w:val="660033"/>
      <w:spacing w:val="0"/>
    </w:rPr>
  </w:style>
  <w:style w:type="paragraph" w:customStyle="1" w:styleId="Nameditemlist">
    <w:name w:val="Named item list"/>
    <w:basedOn w:val="BodyText"/>
    <w:qFormat/>
    <w:rsid w:val="0066760C"/>
    <w:pPr>
      <w:tabs>
        <w:tab w:val="left" w:pos="2835"/>
      </w:tabs>
      <w:ind w:left="2835" w:hanging="2835"/>
    </w:pPr>
  </w:style>
  <w:style w:type="paragraph" w:customStyle="1" w:styleId="BodyTextnopadding">
    <w:name w:val="Body Text no padding"/>
    <w:basedOn w:val="BodyText"/>
    <w:qFormat/>
    <w:rsid w:val="0066760C"/>
    <w:pPr>
      <w:spacing w:before="0" w:after="0"/>
    </w:pPr>
  </w:style>
  <w:style w:type="paragraph" w:customStyle="1" w:styleId="BodyTextBold">
    <w:name w:val="Body Text Bold"/>
    <w:basedOn w:val="BodyText"/>
    <w:qFormat/>
    <w:rsid w:val="0066760C"/>
    <w:rPr>
      <w:b/>
    </w:rPr>
  </w:style>
  <w:style w:type="character" w:styleId="Hyperlink">
    <w:name w:val="Hyperlink"/>
    <w:basedOn w:val="DefaultParagraphFont"/>
    <w:uiPriority w:val="99"/>
    <w:unhideWhenUsed/>
    <w:rsid w:val="00B21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7849</Characters>
  <Application>Microsoft Office Word</Application>
  <DocSecurity>0</DocSecurity>
  <Lines>218</Lines>
  <Paragraphs>149</Paragraphs>
  <ScaleCrop>false</ScaleCrop>
  <Company>Author-it Software Corporation Ltd.</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RIIOGD205D Support blow out prevention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2025-03-01T20:45:00Z</dcterms:created>
  <dcterms:modified xsi:type="dcterms:W3CDTF">2025-03-01T20:45:00Z</dcterms:modified>
</cp:coreProperties>
</file>