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5BA6" w:rsidP="00395BA6">
      <w:pPr>
        <w:pStyle w:val="Title"/>
      </w:pPr>
      <w:r>
        <w:fldChar w:fldCharType="begin"/>
      </w:r>
      <w:r>
        <w:instrText xml:space="preserve"> TITLE   \* MERGEFORMAT </w:instrText>
      </w:r>
      <w:r>
        <w:fldChar w:fldCharType="separate"/>
      </w:r>
      <w:r>
        <w:t>Assessment Requirements for RIIOGD205D Support blow out prevention operations</w:t>
      </w:r>
      <w:r>
        <w:fldChar w:fldCharType="end"/>
      </w:r>
    </w:p>
    <w:p w:rsidR="00395BA6" w:rsidP="00395BA6">
      <w:pPr>
        <w:pStyle w:val="Version"/>
        <w:sectPr w:rsidSect="00B66C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66C38" w:rsidP="00B66C38">
      <w:pPr>
        <w:pStyle w:val="SuperHeading"/>
      </w:pPr>
      <w:r w:rsidRPr="00B66C38">
        <w:t>Assessment Requirements for RIIOGD205D Support blow out prevention operations</w:t>
      </w:r>
    </w:p>
    <w:p w:rsidR="00000000" w:rsidRPr="00B66C38" w:rsidP="00B66C38">
      <w:pPr>
        <w:pStyle w:val="Heading1"/>
      </w:pPr>
      <w:bookmarkStart w:id="1" w:name="O_690914"/>
      <w:bookmarkEnd w:id="1"/>
      <w:r w:rsidRPr="00B66C38">
        <w:t>Modification History</w:t>
      </w:r>
    </w:p>
    <w:tbl>
      <w:tblPr>
        <w:tblW w:w="0" w:type="auto"/>
        <w:tblCellMar>
          <w:left w:w="62" w:type="dxa"/>
          <w:right w:w="62" w:type="dxa"/>
        </w:tblCellMar>
        <w:tblLook w:val="0000"/>
      </w:tblPr>
      <w:tblGrid>
        <w:gridCol w:w="1107"/>
        <w:gridCol w:w="8089"/>
      </w:tblGrid>
      <w:tr w:rsidTr="00395BA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C38">
            <w:pPr>
              <w:pStyle w:val="Heading4"/>
              <w:rPr>
                <w:lang w:val="en-NZ"/>
              </w:rPr>
            </w:pPr>
            <w:r w:rsidRPr="00B66C38">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C38">
            <w:pPr>
              <w:pStyle w:val="Heading4"/>
              <w:rPr>
                <w:lang w:val="en-NZ"/>
              </w:rPr>
            </w:pPr>
            <w:r w:rsidRPr="00B66C38">
              <w:t>Comment</w:t>
            </w:r>
          </w:p>
        </w:tc>
      </w:tr>
      <w:tr w:rsidTr="00395BA6">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C38">
            <w:pPr>
              <w:pStyle w:val="BodyText"/>
              <w:rPr>
                <w:lang w:val="en-NZ"/>
              </w:rPr>
            </w:pPr>
            <w:r w:rsidRPr="00B66C3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C38">
            <w:pPr>
              <w:pStyle w:val="BodyText"/>
              <w:rPr>
                <w:lang w:val="en-NZ"/>
              </w:rPr>
            </w:pPr>
            <w:r w:rsidRPr="00B66C38">
              <w:t>This unit replaces RIIOGD205A Support blow out prevention operations</w:t>
            </w:r>
          </w:p>
        </w:tc>
      </w:tr>
      <w:tr w:rsidTr="00395BA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C38">
            <w:pPr>
              <w:pStyle w:val="BodyText"/>
              <w:rPr>
                <w:lang w:val="en-NZ"/>
              </w:rPr>
            </w:pPr>
            <w:r w:rsidRPr="00B66C38">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6C38" w:rsidP="00B66C38">
            <w:pPr>
              <w:pStyle w:val="BodyText"/>
            </w:pPr>
            <w:r w:rsidRPr="00B66C38">
              <w:t>Required frequency and volume of evidence amended in Performance evidence.</w:t>
            </w:r>
          </w:p>
          <w:p w:rsidR="00000000" w:rsidRPr="00B66C38" w:rsidP="00B66C38">
            <w:pPr>
              <w:pStyle w:val="BodyText"/>
            </w:pPr>
            <w:r w:rsidRPr="00B66C38">
              <w:t>Substantial amendments made in Assessment Conditions field, including: references to Industry Sectors, assessor and subject matter expert experience requirements, how assessment sho</w:t>
            </w:r>
            <w:r w:rsidRPr="00B66C38">
              <w:t>uld be conducted and what it should confirm.</w:t>
            </w:r>
          </w:p>
        </w:tc>
      </w:tr>
    </w:tbl>
    <w:p w:rsidR="00000000" w:rsidRPr="00B66C38" w:rsidP="00B66C38">
      <w:pPr>
        <w:pStyle w:val="BodyText"/>
      </w:pPr>
    </w:p>
    <w:p w:rsidR="00000000" w:rsidRPr="00B66C38" w:rsidP="00B66C38">
      <w:pPr>
        <w:pStyle w:val="AllowPageBreak"/>
      </w:pPr>
    </w:p>
    <w:p w:rsidR="00000000" w:rsidRPr="00B66C38" w:rsidP="00B66C38">
      <w:pPr>
        <w:pStyle w:val="Heading1"/>
      </w:pPr>
      <w:bookmarkStart w:id="2" w:name="O_690913"/>
      <w:bookmarkEnd w:id="2"/>
      <w:r w:rsidRPr="00B66C38">
        <w:t>Performance Evidence</w:t>
      </w:r>
    </w:p>
    <w:p w:rsidR="00000000" w:rsidRPr="00B66C38" w:rsidP="00395BA6">
      <w:pPr>
        <w:pStyle w:val="BodyText"/>
      </w:pPr>
      <w:r w:rsidRPr="00B66C38">
        <w:t>Evidence is required to be collected that demonstrates a candidate’s competency in this unit. Evidence must be relevant to the roles within this sector’</w:t>
      </w:r>
      <w:r w:rsidRPr="00B66C38">
        <w:t>s work operations and satisfy all of the requirements of the performance criteria of this unit and include evidence that the candidate:</w:t>
      </w:r>
    </w:p>
    <w:p w:rsidR="00000000" w:rsidRPr="00B66C38" w:rsidP="00B66C38">
      <w:pPr>
        <w:pStyle w:val="ListBullet"/>
      </w:pPr>
      <w:r w:rsidRPr="00B66C38">
        <w:t>locates and applies applicable legislation, documentation, policies and procedures</w:t>
      </w:r>
    </w:p>
    <w:p w:rsidR="00000000" w:rsidRPr="00B66C38" w:rsidP="00B66C38">
      <w:pPr>
        <w:pStyle w:val="ListBullet"/>
      </w:pPr>
      <w:r w:rsidRPr="00B66C38">
        <w:t>knowledge of the requirements, proce</w:t>
      </w:r>
      <w:r w:rsidRPr="00B66C38">
        <w:t>dures and instructions for supporting blow out prevention operations</w:t>
      </w:r>
    </w:p>
    <w:p w:rsidR="00000000" w:rsidRPr="00B66C38" w:rsidP="00B66C38">
      <w:pPr>
        <w:pStyle w:val="ListBullet"/>
      </w:pPr>
      <w:r w:rsidRPr="00B66C38">
        <w:t>implements the requirements, procedures and techniques for the safe, effective and efficient support of blow out prevention operations including:</w:t>
      </w:r>
    </w:p>
    <w:p w:rsidR="00000000" w:rsidRPr="00B66C38" w:rsidP="00B66C38">
      <w:pPr>
        <w:pStyle w:val="ListBullet2"/>
      </w:pPr>
      <w:r w:rsidRPr="00B66C38">
        <w:t>determining type of BOP and their unique</w:t>
      </w:r>
      <w:r w:rsidRPr="00B66C38">
        <w:t xml:space="preserve"> requirements </w:t>
      </w:r>
    </w:p>
    <w:p w:rsidR="00000000" w:rsidRPr="00B66C38" w:rsidP="00B66C38">
      <w:pPr>
        <w:pStyle w:val="ListBullet2"/>
      </w:pPr>
      <w:r w:rsidRPr="00B66C38">
        <w:t>apply kick warning signs and indicators detecting procedures</w:t>
      </w:r>
    </w:p>
    <w:p w:rsidR="00000000" w:rsidRPr="00B66C38" w:rsidP="00B66C38">
      <w:pPr>
        <w:pStyle w:val="ListBullet2"/>
      </w:pPr>
      <w:r w:rsidRPr="00B66C38">
        <w:t>apply work instruction and procedure interpretation skills</w:t>
      </w:r>
    </w:p>
    <w:p w:rsidR="00000000" w:rsidRPr="00B66C38" w:rsidP="00B66C38">
      <w:pPr>
        <w:pStyle w:val="ListBullet2"/>
      </w:pPr>
      <w:r w:rsidRPr="00B66C38">
        <w:t>monitor process including recording and reporting on operations and safety issues</w:t>
      </w:r>
    </w:p>
    <w:p w:rsidR="00000000" w:rsidRPr="00B66C38" w:rsidP="00B66C38">
      <w:pPr>
        <w:pStyle w:val="ListBullet"/>
      </w:pPr>
      <w:r w:rsidRPr="00B66C38">
        <w:t xml:space="preserve">works effectively others to undertake </w:t>
      </w:r>
      <w:r w:rsidRPr="00B66C38">
        <w:t>and complete the blow out prevention operations that meets all of the required outcomes including:</w:t>
      </w:r>
    </w:p>
    <w:p w:rsidR="00000000" w:rsidRPr="00B66C38" w:rsidP="00B66C38">
      <w:pPr>
        <w:pStyle w:val="ListBullet2"/>
      </w:pPr>
      <w:r w:rsidRPr="00B66C38">
        <w:t>working in a team and organising work activities to meet all task requirements</w:t>
      </w:r>
    </w:p>
    <w:p w:rsidR="00000000" w:rsidRPr="00B66C38" w:rsidP="00B66C38">
      <w:pPr>
        <w:pStyle w:val="ListBullet2"/>
      </w:pPr>
      <w:r w:rsidRPr="00B66C38">
        <w:t>communicating clearly and concisely with others to receive and clarify work i</w:t>
      </w:r>
      <w:r w:rsidRPr="00B66C38">
        <w:t>nstructions</w:t>
      </w:r>
    </w:p>
    <w:p w:rsidR="00000000" w:rsidRPr="00B66C38" w:rsidP="00B66C38">
      <w:pPr>
        <w:pStyle w:val="ListBullet"/>
      </w:pPr>
      <w:r w:rsidRPr="00B66C38">
        <w:t>demonstrates completion of the support of blow out prevention operations that safely, effectively and efficiently meets all of the required outcomes on more than one (1) occasion including:</w:t>
      </w:r>
    </w:p>
    <w:p w:rsidR="00000000" w:rsidRPr="00B66C38" w:rsidP="00B66C38">
      <w:pPr>
        <w:pStyle w:val="ListBullet2"/>
      </w:pPr>
      <w:r w:rsidRPr="00B66C38">
        <w:t>disassemble, clean, check, replace and assemble comp</w:t>
      </w:r>
      <w:r w:rsidRPr="00B66C38">
        <w:t>onents of the Ram or Annular BOP</w:t>
      </w:r>
    </w:p>
    <w:p w:rsidR="00000000" w:rsidRPr="00B66C38" w:rsidP="00B66C38">
      <w:pPr>
        <w:pStyle w:val="ListBullet2"/>
      </w:pPr>
      <w:r w:rsidRPr="00B66C38">
        <w:t>inspect parts in sequence before assembly which may include:</w:t>
      </w:r>
    </w:p>
    <w:p w:rsidR="00000000" w:rsidRPr="00B66C38" w:rsidP="00B66C38">
      <w:pPr>
        <w:pStyle w:val="ListBullet3"/>
      </w:pPr>
      <w:r w:rsidRPr="00B66C38">
        <w:t>housing/body joints and outlets</w:t>
      </w:r>
    </w:p>
    <w:p w:rsidR="00000000" w:rsidRPr="00B66C38" w:rsidP="00B66C38">
      <w:pPr>
        <w:pStyle w:val="ListBullet3"/>
      </w:pPr>
      <w:r w:rsidRPr="00B66C38">
        <w:t>locking assembly</w:t>
      </w:r>
    </w:p>
    <w:p w:rsidR="00000000" w:rsidRPr="00B66C38" w:rsidP="00B66C38">
      <w:pPr>
        <w:pStyle w:val="ListBullet3"/>
      </w:pPr>
      <w:r w:rsidRPr="00B66C38">
        <w:t>piston</w:t>
      </w:r>
    </w:p>
    <w:p w:rsidR="00000000" w:rsidRPr="00B66C38" w:rsidP="00B66C38">
      <w:pPr>
        <w:pStyle w:val="ListBullet3"/>
      </w:pPr>
      <w:r w:rsidRPr="00B66C38">
        <w:t>bonnet seal</w:t>
      </w:r>
    </w:p>
    <w:p w:rsidR="00000000" w:rsidRPr="00B66C38" w:rsidP="00B66C38">
      <w:pPr>
        <w:pStyle w:val="ListBullet3"/>
      </w:pPr>
      <w:r w:rsidRPr="00B66C38">
        <w:t>BOP vertical bore</w:t>
      </w:r>
    </w:p>
    <w:p w:rsidR="00000000" w:rsidRPr="00B66C38" w:rsidP="00B66C38">
      <w:pPr>
        <w:pStyle w:val="ListBullet3"/>
      </w:pPr>
      <w:r w:rsidRPr="00B66C38">
        <w:t>shafts</w:t>
      </w:r>
    </w:p>
    <w:p w:rsidR="00000000" w:rsidRPr="00B66C38" w:rsidP="00B66C38">
      <w:pPr>
        <w:pStyle w:val="ListBullet3"/>
      </w:pPr>
      <w:r w:rsidRPr="00B66C38">
        <w:t>rotating assembly</w:t>
      </w:r>
    </w:p>
    <w:p w:rsidR="00000000" w:rsidRPr="00B66C38" w:rsidP="00B66C38">
      <w:pPr>
        <w:pStyle w:val="ListBullet3"/>
      </w:pPr>
      <w:r w:rsidRPr="00B66C38">
        <w:t xml:space="preserve">welding parts and plating </w:t>
      </w:r>
    </w:p>
    <w:p w:rsidR="00000000" w:rsidRPr="00B66C38" w:rsidP="00B66C38">
      <w:pPr>
        <w:pStyle w:val="ListBullet3"/>
      </w:pPr>
      <w:r w:rsidRPr="00B66C38">
        <w:t xml:space="preserve">major piston </w:t>
      </w:r>
    </w:p>
    <w:p w:rsidR="00000000" w:rsidRPr="00B66C38" w:rsidP="00B66C38">
      <w:pPr>
        <w:pStyle w:val="ListBullet3"/>
      </w:pPr>
      <w:r w:rsidRPr="00B66C38">
        <w:t>bonnet bolt</w:t>
      </w:r>
    </w:p>
    <w:p w:rsidR="00000000" w:rsidRPr="00B66C38" w:rsidP="00B66C38">
      <w:pPr>
        <w:pStyle w:val="ListBullet3"/>
      </w:pPr>
      <w:r w:rsidRPr="00B66C38">
        <w:t>flanges</w:t>
      </w:r>
    </w:p>
    <w:p w:rsidR="00000000" w:rsidRPr="00B66C38" w:rsidP="00B66C38">
      <w:pPr>
        <w:pStyle w:val="ListBullet3"/>
      </w:pPr>
      <w:r w:rsidRPr="00B66C38">
        <w:t>extend and retract ports</w:t>
      </w:r>
    </w:p>
    <w:p w:rsidR="00000000" w:rsidRPr="00B66C38" w:rsidP="00B66C38">
      <w:pPr>
        <w:pStyle w:val="ListBullet3"/>
      </w:pPr>
      <w:r w:rsidRPr="00B66C38">
        <w:t>blowhole and blindhole</w:t>
      </w:r>
    </w:p>
    <w:p w:rsidR="00000000" w:rsidRPr="00B66C38" w:rsidP="00B66C38">
      <w:pPr>
        <w:pStyle w:val="ListBullet2"/>
      </w:pPr>
      <w:r w:rsidRPr="00B66C38">
        <w:t>participate in identification of hazards and issues</w:t>
      </w:r>
    </w:p>
    <w:p w:rsidR="00000000" w:rsidRPr="00B66C38" w:rsidP="00B66C38">
      <w:pPr>
        <w:pStyle w:val="ListBullet2"/>
      </w:pPr>
      <w:r w:rsidRPr="00B66C38">
        <w:t>participate in emergency drills and activities on site</w:t>
      </w:r>
    </w:p>
    <w:p w:rsidR="00000000" w:rsidRPr="00B66C38" w:rsidP="00B66C38">
      <w:pPr>
        <w:pStyle w:val="AllowPageBreak"/>
      </w:pPr>
    </w:p>
    <w:p w:rsidR="00000000" w:rsidRPr="00B66C38" w:rsidP="00B66C38">
      <w:pPr>
        <w:pStyle w:val="Heading1"/>
      </w:pPr>
      <w:bookmarkStart w:id="3" w:name="O_690912"/>
      <w:bookmarkEnd w:id="3"/>
      <w:r w:rsidRPr="00B66C38">
        <w:t>Knowledge Evidence</w:t>
      </w:r>
    </w:p>
    <w:p w:rsidR="00000000" w:rsidRPr="00B66C38" w:rsidP="00395BA6">
      <w:pPr>
        <w:pStyle w:val="BodyText"/>
      </w:pPr>
      <w:r w:rsidRPr="00B66C38">
        <w:t>The candidate must demonstrate knowledge in support blow out prevention operation through:</w:t>
      </w:r>
    </w:p>
    <w:p w:rsidR="00000000" w:rsidRPr="00B66C38" w:rsidP="00B66C38">
      <w:pPr>
        <w:pStyle w:val="ListBullet"/>
      </w:pPr>
      <w:r w:rsidRPr="00B66C38">
        <w:t>the principles and practices of coal seam gas control</w:t>
      </w:r>
    </w:p>
    <w:p w:rsidR="00000000" w:rsidRPr="00B66C38" w:rsidP="00B66C38">
      <w:pPr>
        <w:pStyle w:val="ListBullet"/>
      </w:pPr>
      <w:r w:rsidRPr="00B66C38">
        <w:t>and complying with coal seam gas control procedures</w:t>
      </w:r>
    </w:p>
    <w:p w:rsidR="00000000" w:rsidRPr="00B66C38" w:rsidP="00B66C38">
      <w:pPr>
        <w:pStyle w:val="ListBullet"/>
      </w:pPr>
      <w:r w:rsidRPr="00B66C38">
        <w:t xml:space="preserve">risks and their controls related to coal seam gas control </w:t>
      </w:r>
    </w:p>
    <w:p w:rsidR="00000000" w:rsidRPr="00B66C38" w:rsidP="00B66C38">
      <w:pPr>
        <w:pStyle w:val="ListBullet"/>
      </w:pPr>
      <w:r w:rsidRPr="00B66C38">
        <w:t>and complying with BOP annular equipment operating principles</w:t>
      </w:r>
    </w:p>
    <w:p w:rsidR="00000000" w:rsidRPr="00B66C38" w:rsidP="00B66C38">
      <w:pPr>
        <w:pStyle w:val="ListBullet"/>
      </w:pPr>
      <w:r w:rsidRPr="00B66C38">
        <w:t>BOP control system principles</w:t>
      </w:r>
    </w:p>
    <w:p w:rsidR="00000000" w:rsidRPr="00B66C38" w:rsidP="00B66C38">
      <w:pPr>
        <w:pStyle w:val="ListBullet"/>
      </w:pPr>
      <w:r w:rsidRPr="00B66C38">
        <w:t>operating principles of chokes and manifolds</w:t>
      </w:r>
    </w:p>
    <w:p w:rsidR="00000000" w:rsidRPr="00B66C38" w:rsidP="00B66C38">
      <w:pPr>
        <w:pStyle w:val="ListBullet"/>
      </w:pPr>
      <w:r w:rsidRPr="00B66C38">
        <w:t>kill principles and methods</w:t>
      </w:r>
    </w:p>
    <w:p w:rsidR="00000000" w:rsidRPr="00B66C38" w:rsidP="00B66C38">
      <w:pPr>
        <w:pStyle w:val="ListBullet"/>
      </w:pPr>
      <w:r w:rsidRPr="00B66C38">
        <w:t>sources of ignition and their dangers and controls</w:t>
      </w:r>
    </w:p>
    <w:p w:rsidR="00000000" w:rsidRPr="00B66C38" w:rsidP="00B66C38">
      <w:pPr>
        <w:pStyle w:val="ListBullet"/>
      </w:pPr>
      <w:r w:rsidRPr="00B66C38">
        <w:t>sources of flammable gases and emission</w:t>
      </w:r>
      <w:r w:rsidRPr="00B66C38">
        <w:t>s and their dangers and controls</w:t>
      </w:r>
    </w:p>
    <w:p w:rsidR="00000000" w:rsidRPr="00B66C38" w:rsidP="00B66C38">
      <w:pPr>
        <w:pStyle w:val="ListBullet"/>
      </w:pPr>
      <w:r w:rsidRPr="00B66C38">
        <w:t>kick detection warnings and indications and the responses to them</w:t>
      </w:r>
    </w:p>
    <w:p w:rsidR="00000000" w:rsidRPr="00B66C38" w:rsidP="00B66C38">
      <w:pPr>
        <w:pStyle w:val="ListBullet"/>
      </w:pPr>
      <w:r w:rsidRPr="00B66C38">
        <w:t>purpose, type and conduct of coal seam gas control emergency drills and exercises</w:t>
      </w:r>
    </w:p>
    <w:p w:rsidR="00000000" w:rsidRPr="00B66C38" w:rsidP="00B66C38">
      <w:pPr>
        <w:pStyle w:val="ListBullet"/>
      </w:pPr>
      <w:r w:rsidRPr="00B66C38">
        <w:t>using various communication methods and protocols</w:t>
      </w:r>
    </w:p>
    <w:p w:rsidR="00000000" w:rsidRPr="00B66C38" w:rsidP="00B66C38">
      <w:pPr>
        <w:pStyle w:val="AllowPageBreak"/>
      </w:pPr>
    </w:p>
    <w:p w:rsidR="00000000" w:rsidRPr="00B66C38" w:rsidP="00B66C38">
      <w:pPr>
        <w:pStyle w:val="Heading1"/>
      </w:pPr>
      <w:bookmarkStart w:id="4" w:name="O_690911"/>
      <w:bookmarkEnd w:id="4"/>
      <w:r w:rsidRPr="00B66C38">
        <w:t>Assessment Conditions</w:t>
      </w:r>
    </w:p>
    <w:p w:rsidR="00000000" w:rsidRPr="00B66C38" w:rsidP="00B66C38">
      <w:pPr>
        <w:pStyle w:val="ListBullet"/>
      </w:pPr>
      <w:r w:rsidRPr="00B66C38">
        <w:t xml:space="preserve">An assessor of this unit must satisfy the requirements of the NVR/AQTF or their successors; and Industry regulations for certification and licensing; and, </w:t>
      </w:r>
    </w:p>
    <w:p w:rsidR="00000000" w:rsidRPr="00B66C38" w:rsidP="00B66C38">
      <w:pPr>
        <w:pStyle w:val="ListBullet"/>
      </w:pPr>
      <w:r w:rsidRPr="00B66C38">
        <w:t xml:space="preserve">this unit must be assessed in the context of this sector’s work environment; </w:t>
      </w:r>
      <w:r w:rsidRPr="00B66C38">
        <w:t>and,</w:t>
      </w:r>
    </w:p>
    <w:p w:rsidR="00000000" w:rsidRPr="00B66C38" w:rsidP="00B66C38">
      <w:pPr>
        <w:pStyle w:val="ListBullet"/>
      </w:pPr>
      <w:r w:rsidRPr="00B66C38">
        <w:t>this unit must be assessed in compliance with relevant legislation/regulation and using policies, procedures, processes and operational manuals directly related to the industry sector for which it is being assessed; and,</w:t>
      </w:r>
    </w:p>
    <w:p w:rsidR="00000000" w:rsidRPr="00B66C38" w:rsidP="00B66C38">
      <w:pPr>
        <w:pStyle w:val="ListBullet"/>
      </w:pPr>
      <w:r w:rsidRPr="00B66C38">
        <w:t>assessment may be conducted in</w:t>
      </w:r>
      <w:r w:rsidRPr="00B66C38">
        <w:t xml:space="preserve"> conjunction with the assessment of other Units of Competency; and,</w:t>
      </w:r>
    </w:p>
    <w:p w:rsidR="00000000" w:rsidRPr="00B66C38" w:rsidP="00B66C38">
      <w:pPr>
        <w:pStyle w:val="ListBullet"/>
      </w:pPr>
      <w:r w:rsidRPr="00B66C38">
        <w:t>assessment must confirm consistent performance can be applied in a range of relevant workplace circumstances; and,</w:t>
      </w:r>
    </w:p>
    <w:p w:rsidR="00000000" w:rsidRPr="00B66C38" w:rsidP="00B66C38">
      <w:pPr>
        <w:pStyle w:val="ListBullet"/>
      </w:pPr>
      <w:r w:rsidRPr="00B66C38">
        <w:t>assessors must demonstrate the performance evidence, and knowledge eviden</w:t>
      </w:r>
      <w:r w:rsidRPr="00B66C38">
        <w:t>ce as outlined in this Unit of Competency, and through the minimum years of current* work experience specified below in an Industry sector relevant to the outcomes of the unit; or,</w:t>
      </w:r>
    </w:p>
    <w:p w:rsidR="00000000" w:rsidRPr="00B66C38" w:rsidP="00B66C38">
      <w:pPr>
        <w:pStyle w:val="ListBullet"/>
      </w:pPr>
      <w:r w:rsidRPr="00B66C38">
        <w:t>where the assessor does not meet experience requirements a co-assessment or</w:t>
      </w:r>
      <w:r w:rsidRPr="00B66C38">
        <w:t xml:space="preserve"> partnership arrangement must exist between the qualified assessor and an Industry subject matter expert. The Industry subject matter expert should hold the unit being assessed (or an equivalent unit) and/or demonstrate equivalence of skills and knowledge </w:t>
      </w:r>
      <w:r w:rsidRPr="00B66C38">
        <w:t>at the unit level. An Industry technical expert must also demonstrate skills and knowledge from the minimum years of current work experience specified below in the Industry sector, including time spent in roles related to the unit being assessed; and,</w:t>
      </w:r>
    </w:p>
    <w:p w:rsidR="00000000" w:rsidRPr="00B66C38" w:rsidP="00B66C38">
      <w:pPr>
        <w:pStyle w:val="ListBullet"/>
      </w:pPr>
      <w:r w:rsidRPr="00B66C38">
        <w:t>asse</w:t>
      </w:r>
      <w:r w:rsidRPr="00B66C38">
        <w:t>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B66C3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6C38">
            <w:pPr>
              <w:pStyle w:val="Heading4"/>
              <w:rPr>
                <w:lang w:val="en-NZ"/>
              </w:rPr>
            </w:pPr>
            <w:r w:rsidRPr="00B66C3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6C38">
            <w:pPr>
              <w:pStyle w:val="Heading4"/>
              <w:rPr>
                <w:lang w:val="en-NZ"/>
              </w:rPr>
            </w:pPr>
            <w:r w:rsidRPr="00B66C3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6C38">
            <w:pPr>
              <w:pStyle w:val="Heading4"/>
              <w:rPr>
                <w:lang w:val="en-NZ"/>
              </w:rPr>
            </w:pPr>
            <w:r w:rsidRPr="00B66C38">
              <w:t>Required assessor or Industry su</w:t>
            </w:r>
            <w:r w:rsidRPr="00B66C38">
              <w:t>bject matter expert experience</w:t>
            </w:r>
          </w:p>
        </w:tc>
      </w:tr>
      <w:tr w:rsidTr="00B66C3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6C38">
            <w:pPr>
              <w:pStyle w:val="BodyText"/>
              <w:rPr>
                <w:lang w:val="en-NZ"/>
              </w:rPr>
            </w:pPr>
            <w:r w:rsidRPr="00B66C38">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6C38">
            <w:pPr>
              <w:pStyle w:val="BodyText"/>
              <w:rPr>
                <w:lang w:val="en-NZ"/>
              </w:rPr>
            </w:pPr>
            <w:r w:rsidRPr="00B66C3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6C38">
            <w:pPr>
              <w:pStyle w:val="BodyText"/>
              <w:rPr>
                <w:lang w:val="en-NZ"/>
              </w:rPr>
            </w:pPr>
            <w:r w:rsidRPr="00B66C38">
              <w:t>1 Year</w:t>
            </w:r>
          </w:p>
        </w:tc>
      </w:tr>
      <w:tr w:rsidTr="00B66C3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6C38">
            <w:pPr>
              <w:pStyle w:val="BodyText"/>
              <w:rPr>
                <w:lang w:val="en-NZ"/>
              </w:rPr>
            </w:pPr>
            <w:r w:rsidRPr="00B66C3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6C38">
            <w:pPr>
              <w:pStyle w:val="BodyText"/>
              <w:rPr>
                <w:lang w:val="en-NZ"/>
              </w:rPr>
            </w:pPr>
            <w:r w:rsidRPr="00B66C38">
              <w:t>2 Years</w:t>
            </w:r>
          </w:p>
        </w:tc>
      </w:tr>
      <w:tr w:rsidTr="00B66C3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6C38">
            <w:pPr>
              <w:pStyle w:val="BodyText"/>
              <w:rPr>
                <w:lang w:val="en-NZ"/>
              </w:rPr>
            </w:pPr>
            <w:r w:rsidRPr="00B66C3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6C38">
            <w:pPr>
              <w:pStyle w:val="BodyText"/>
              <w:rPr>
                <w:lang w:val="en-NZ"/>
              </w:rPr>
            </w:pPr>
            <w:r w:rsidRPr="00B66C3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6C38">
            <w:pPr>
              <w:pStyle w:val="BodyText"/>
              <w:rPr>
                <w:lang w:val="en-NZ"/>
              </w:rPr>
            </w:pPr>
            <w:r w:rsidRPr="00B66C38">
              <w:t>3 Years</w:t>
            </w:r>
          </w:p>
        </w:tc>
      </w:tr>
      <w:tr w:rsidTr="00B66C3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6C38">
            <w:pPr>
              <w:pStyle w:val="BodyText"/>
              <w:rPr>
                <w:lang w:val="en-NZ"/>
              </w:rPr>
            </w:pPr>
            <w:r w:rsidRPr="00B66C3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6C38">
            <w:pPr>
              <w:pStyle w:val="BodyText"/>
              <w:rPr>
                <w:lang w:val="en-NZ"/>
              </w:rPr>
            </w:pPr>
            <w:r w:rsidRPr="00B66C3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6C38">
            <w:pPr>
              <w:pStyle w:val="BodyText"/>
              <w:rPr>
                <w:lang w:val="en-NZ"/>
              </w:rPr>
            </w:pPr>
            <w:r w:rsidRPr="00B66C38">
              <w:t>5 Years</w:t>
            </w:r>
          </w:p>
        </w:tc>
      </w:tr>
      <w:tr w:rsidTr="00B66C3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6C38">
            <w:pPr>
              <w:pStyle w:val="BodyText"/>
              <w:rPr>
                <w:lang w:val="en-NZ"/>
              </w:rPr>
            </w:pPr>
            <w:r w:rsidRPr="00B66C3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66C38" w:rsidP="00B66C38">
            <w:pPr>
              <w:pStyle w:val="BodyText"/>
            </w:pPr>
            <w:r w:rsidRPr="00B66C38">
              <w:t>Where this Unit is being assessed outside of the Resources and Infrastructure Sectors assessor and/or Industry subject matter expert experience should be in-line with industry standards for the sector in which it is being assessed an</w:t>
            </w:r>
            <w:r w:rsidRPr="00B66C38">
              <w:t>d where no Industry standard is specified should comply with any relevant regulation.</w:t>
            </w:r>
          </w:p>
        </w:tc>
      </w:tr>
    </w:tbl>
    <w:p w:rsidR="00000000" w:rsidRPr="00B66C38" w:rsidP="00395BA6">
      <w:pPr>
        <w:pStyle w:val="BodyText"/>
      </w:pPr>
      <w:r w:rsidRPr="00B66C38">
        <w:t>*Assessors can demonstrate current work experience through employment within Industry in a role relevant to the outcomes of the Unit; or, for external assessors this ca</w:t>
      </w:r>
      <w:r w:rsidRPr="00B66C38">
        <w:t>n be demonstrated through exposure to Industry by conducting frequent site assessments across various locations.</w:t>
      </w:r>
    </w:p>
    <w:p w:rsidR="00395BA6" w:rsidP="00395BA6">
      <w:pPr>
        <w:pStyle w:val="BodyText"/>
      </w:pPr>
      <w:r w:rsidRPr="00B66C38">
        <w:t xml:space="preserve">**Where a unit is being delivered outside of a Qualification the first numeric character in the Unit code should be considered to indicate the </w:t>
      </w:r>
      <w:r w:rsidRPr="00B66C38">
        <w:t>AQF level</w:t>
      </w:r>
    </w:p>
    <w:p w:rsidR="00000000" w:rsidRPr="00B66C38" w:rsidP="00B66C38">
      <w:pPr>
        <w:pStyle w:val="Heading1"/>
      </w:pPr>
      <w:bookmarkStart w:id="5" w:name="O_690923"/>
      <w:bookmarkEnd w:id="5"/>
      <w:r w:rsidRPr="00B66C38">
        <w:t>Links</w:t>
      </w:r>
    </w:p>
    <w:p w:rsidR="00000000" w:rsidRPr="00B66C38" w:rsidP="00395BA6">
      <w:pPr>
        <w:pStyle w:val="BodyText"/>
      </w:pPr>
      <w:r w:rsidRPr="00B66C3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A38E5">
        <w:rPr>
          <w:rStyle w:val="Hyperlink"/>
        </w:rPr>
        <w:t>https://vetnet.gov.au/Pages/TrainingDocs.aspx?q=88a61002-9a21-4386-aaf8-69c76e675272</w:t>
      </w:r>
      <w:r>
        <w:fldChar w:fldCharType="end"/>
      </w:r>
    </w:p>
    <w:p w:rsidR="00000000" w:rsidRPr="00B66C38" w:rsidP="00B66C38"/>
    <w:sectPr w:rsidSect="00B66C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C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C38" w:rsidRPr="00395BA6" w:rsidP="00395B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C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BA6" w:rsidP="00B66C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95BA6" w:rsidP="00B66C3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395BA6" w:rsidP="00B66C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C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B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6C38" w:rsidRPr="00395BA6" w:rsidP="00395B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C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BA6" w:rsidRPr="002D2AF8" w:rsidP="00B66C38">
    <w:pPr>
      <w:pStyle w:val="Header"/>
      <w:framePr w:wrap="around"/>
    </w:pPr>
    <w:r>
      <w:fldChar w:fldCharType="begin"/>
    </w:r>
    <w:r>
      <w:instrText xml:space="preserve"> TITLE   \* MERGEFORMAT </w:instrText>
    </w:r>
    <w:r>
      <w:fldChar w:fldCharType="separate"/>
    </w:r>
    <w:r>
      <w:t>Assessment Requirements for RIIOGD205D Support blow out prevention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395BA6" w:rsidP="00B66C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486E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7A27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20D3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C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6C38"/>
    <w:pPr>
      <w:spacing w:before="360" w:after="60"/>
      <w:outlineLvl w:val="0"/>
    </w:pPr>
    <w:rPr>
      <w:sz w:val="32"/>
    </w:rPr>
  </w:style>
  <w:style w:type="paragraph" w:styleId="Heading2">
    <w:name w:val="heading 2"/>
    <w:basedOn w:val="HeadingBase"/>
    <w:next w:val="BodyText"/>
    <w:link w:val="Heading2Char"/>
    <w:qFormat/>
    <w:rsid w:val="00B66C38"/>
    <w:pPr>
      <w:keepLines/>
      <w:spacing w:before="240" w:after="120"/>
      <w:outlineLvl w:val="1"/>
    </w:pPr>
    <w:rPr>
      <w:sz w:val="28"/>
      <w:szCs w:val="40"/>
    </w:rPr>
  </w:style>
  <w:style w:type="paragraph" w:styleId="Heading3">
    <w:name w:val="heading 3"/>
    <w:basedOn w:val="HeadingBase"/>
    <w:next w:val="BodyText"/>
    <w:link w:val="Heading3Char"/>
    <w:qFormat/>
    <w:rsid w:val="00B66C38"/>
    <w:pPr>
      <w:spacing w:before="180" w:after="120"/>
      <w:outlineLvl w:val="2"/>
    </w:pPr>
    <w:rPr>
      <w:spacing w:val="-10"/>
      <w:kern w:val="32"/>
    </w:rPr>
  </w:style>
  <w:style w:type="paragraph" w:styleId="Heading4">
    <w:name w:val="heading 4"/>
    <w:basedOn w:val="HeadingBase"/>
    <w:next w:val="BodyText"/>
    <w:link w:val="Heading4Char"/>
    <w:qFormat/>
    <w:rsid w:val="00B66C38"/>
    <w:pPr>
      <w:spacing w:before="160" w:after="120"/>
      <w:outlineLvl w:val="3"/>
    </w:pPr>
    <w:rPr>
      <w:sz w:val="22"/>
    </w:rPr>
  </w:style>
  <w:style w:type="paragraph" w:styleId="Heading5">
    <w:name w:val="heading 5"/>
    <w:basedOn w:val="HeadingBase"/>
    <w:next w:val="Normal"/>
    <w:link w:val="Heading5Char"/>
    <w:qFormat/>
    <w:rsid w:val="00B66C38"/>
    <w:pPr>
      <w:spacing w:before="80"/>
      <w:outlineLvl w:val="4"/>
    </w:pPr>
    <w:rPr>
      <w:color w:val="918585"/>
      <w:sz w:val="20"/>
    </w:rPr>
  </w:style>
  <w:style w:type="paragraph" w:styleId="Heading6">
    <w:name w:val="heading 6"/>
    <w:basedOn w:val="HeadingBase"/>
    <w:next w:val="Normal"/>
    <w:link w:val="Heading6Char"/>
    <w:qFormat/>
    <w:rsid w:val="00B66C38"/>
    <w:pPr>
      <w:spacing w:before="60"/>
      <w:outlineLvl w:val="5"/>
    </w:pPr>
    <w:rPr>
      <w:color w:val="918585"/>
      <w:sz w:val="20"/>
    </w:rPr>
  </w:style>
  <w:style w:type="paragraph" w:styleId="Heading7">
    <w:name w:val="heading 7"/>
    <w:basedOn w:val="Normal"/>
    <w:next w:val="Normal"/>
    <w:link w:val="Heading7Char"/>
    <w:qFormat/>
    <w:rsid w:val="00B66C38"/>
    <w:pPr>
      <w:ind w:left="720"/>
      <w:outlineLvl w:val="6"/>
    </w:pPr>
    <w:rPr>
      <w:i/>
    </w:rPr>
  </w:style>
  <w:style w:type="paragraph" w:styleId="Heading8">
    <w:name w:val="heading 8"/>
    <w:basedOn w:val="Normal"/>
    <w:next w:val="Normal"/>
    <w:link w:val="Heading8Char"/>
    <w:qFormat/>
    <w:rsid w:val="00B66C38"/>
    <w:pPr>
      <w:ind w:left="720"/>
      <w:outlineLvl w:val="7"/>
    </w:pPr>
    <w:rPr>
      <w:i/>
    </w:rPr>
  </w:style>
  <w:style w:type="paragraph" w:styleId="Heading9">
    <w:name w:val="heading 9"/>
    <w:basedOn w:val="Normal"/>
    <w:next w:val="Normal"/>
    <w:link w:val="Heading9Char"/>
    <w:qFormat/>
    <w:rsid w:val="00B66C38"/>
    <w:pPr>
      <w:ind w:left="720"/>
      <w:outlineLvl w:val="8"/>
    </w:pPr>
    <w:rPr>
      <w:i/>
    </w:rPr>
  </w:style>
  <w:style w:type="character" w:default="1" w:styleId="DefaultParagraphFont">
    <w:name w:val="Default Paragraph Font"/>
    <w:uiPriority w:val="1"/>
    <w:unhideWhenUsed/>
    <w:rsid w:val="00B66C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6C38"/>
  </w:style>
  <w:style w:type="character" w:customStyle="1" w:styleId="Heading1Char">
    <w:name w:val="Heading 1 Char"/>
    <w:basedOn w:val="DefaultParagraphFont"/>
    <w:link w:val="Heading1"/>
    <w:rsid w:val="00B66C3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66C38"/>
    <w:rPr>
      <w:rFonts w:ascii="Times New Roman" w:eastAsia="Times New Roman" w:hAnsi="Times New Roman" w:cs="Times New Roman"/>
      <w:b/>
      <w:szCs w:val="20"/>
      <w:lang w:eastAsia="en-US"/>
    </w:rPr>
  </w:style>
  <w:style w:type="paragraph" w:styleId="BodyText">
    <w:name w:val="Body Text"/>
    <w:basedOn w:val="Normal"/>
    <w:link w:val="BodyTextChar"/>
    <w:rsid w:val="00B66C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6C38"/>
    <w:rPr>
      <w:rFonts w:ascii="Times New Roman" w:eastAsia="Times New Roman" w:hAnsi="Times New Roman" w:cs="Times New Roman"/>
      <w:sz w:val="24"/>
      <w:lang w:eastAsia="en-US"/>
    </w:rPr>
  </w:style>
  <w:style w:type="paragraph" w:styleId="ListBullet">
    <w:name w:val="List Bullet"/>
    <w:basedOn w:val="List"/>
    <w:rsid w:val="00B66C38"/>
    <w:pPr>
      <w:numPr>
        <w:numId w:val="13"/>
      </w:numPr>
      <w:tabs>
        <w:tab w:val="clear" w:pos="340"/>
      </w:tabs>
      <w:spacing w:before="40" w:after="40"/>
    </w:pPr>
  </w:style>
  <w:style w:type="paragraph" w:styleId="ListBullet2">
    <w:name w:val="List Bullet 2"/>
    <w:basedOn w:val="List2"/>
    <w:rsid w:val="00B66C38"/>
    <w:pPr>
      <w:numPr>
        <w:numId w:val="14"/>
      </w:numPr>
      <w:tabs>
        <w:tab w:val="clear" w:pos="680"/>
      </w:tabs>
    </w:pPr>
  </w:style>
  <w:style w:type="paragraph" w:customStyle="1" w:styleId="SuperHeading">
    <w:name w:val="SuperHeading"/>
    <w:basedOn w:val="Normal"/>
    <w:rsid w:val="00B66C38"/>
    <w:pPr>
      <w:spacing w:before="240" w:after="120"/>
      <w:outlineLvl w:val="0"/>
    </w:pPr>
    <w:rPr>
      <w:rFonts w:ascii="Times New Roman" w:hAnsi="Times New Roman"/>
      <w:b/>
      <w:sz w:val="32"/>
    </w:rPr>
  </w:style>
  <w:style w:type="paragraph" w:customStyle="1" w:styleId="AllowPageBreak">
    <w:name w:val="AllowPageBreak"/>
    <w:rsid w:val="00B66C3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66C38"/>
    <w:pPr>
      <w:numPr>
        <w:numId w:val="3"/>
      </w:numPr>
      <w:tabs>
        <w:tab w:val="clear" w:pos="1021"/>
      </w:tabs>
      <w:ind w:left="1037" w:hanging="357"/>
    </w:pPr>
  </w:style>
  <w:style w:type="character" w:customStyle="1" w:styleId="Heading2Char">
    <w:name w:val="Heading 2 Char"/>
    <w:basedOn w:val="DefaultParagraphFont"/>
    <w:link w:val="Heading2"/>
    <w:rsid w:val="00B66C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6C3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66C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6C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6C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6C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6C38"/>
    <w:rPr>
      <w:rFonts w:ascii="Courier New" w:eastAsia="Times New Roman" w:hAnsi="Courier New" w:cs="Times New Roman"/>
      <w:i/>
      <w:szCs w:val="20"/>
      <w:lang w:eastAsia="en-US"/>
    </w:rPr>
  </w:style>
  <w:style w:type="paragraph" w:customStyle="1" w:styleId="HeadingBase">
    <w:name w:val="Heading Base"/>
    <w:rsid w:val="00B66C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6C38"/>
    <w:pPr>
      <w:tabs>
        <w:tab w:val="right" w:leader="dot" w:pos="9072"/>
      </w:tabs>
      <w:ind w:left="567"/>
    </w:pPr>
    <w:rPr>
      <w:szCs w:val="22"/>
    </w:rPr>
  </w:style>
  <w:style w:type="paragraph" w:customStyle="1" w:styleId="TOCBase">
    <w:name w:val="TOC Base"/>
    <w:rsid w:val="00B66C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6C38"/>
    <w:pPr>
      <w:tabs>
        <w:tab w:val="right" w:leader="dot" w:pos="9072"/>
      </w:tabs>
      <w:spacing w:before="40" w:after="40"/>
      <w:ind w:left="284"/>
    </w:pPr>
    <w:rPr>
      <w:rFonts w:ascii="Times New Roman" w:hAnsi="Times New Roman"/>
    </w:rPr>
  </w:style>
  <w:style w:type="paragraph" w:styleId="TOC1">
    <w:name w:val="toc 1"/>
    <w:basedOn w:val="TOCBase"/>
    <w:next w:val="Normal"/>
    <w:rsid w:val="00B66C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6C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6C38"/>
    <w:rPr>
      <w:rFonts w:ascii="Times New Roman" w:eastAsia="Times New Roman" w:hAnsi="Times New Roman" w:cs="Times New Roman"/>
      <w:sz w:val="16"/>
      <w:lang w:eastAsia="en-US"/>
    </w:rPr>
  </w:style>
  <w:style w:type="paragraph" w:styleId="Title">
    <w:name w:val="Title"/>
    <w:basedOn w:val="HeadingBase"/>
    <w:link w:val="TitleChar"/>
    <w:qFormat/>
    <w:rsid w:val="00B66C38"/>
    <w:pPr>
      <w:spacing w:before="5040"/>
      <w:jc w:val="center"/>
    </w:pPr>
    <w:rPr>
      <w:sz w:val="48"/>
      <w:szCs w:val="72"/>
      <w:lang w:val="en-US"/>
    </w:rPr>
  </w:style>
  <w:style w:type="character" w:customStyle="1" w:styleId="TitleChar">
    <w:name w:val="Title Char"/>
    <w:basedOn w:val="DefaultParagraphFont"/>
    <w:link w:val="Title"/>
    <w:rsid w:val="00B66C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6C38"/>
    <w:pPr>
      <w:tabs>
        <w:tab w:val="left" w:pos="3600"/>
        <w:tab w:val="left" w:pos="3958"/>
      </w:tabs>
    </w:pPr>
  </w:style>
  <w:style w:type="paragraph" w:styleId="List">
    <w:name w:val="List"/>
    <w:basedOn w:val="BodyText"/>
    <w:next w:val="BodyText"/>
    <w:rsid w:val="00B66C38"/>
    <w:pPr>
      <w:tabs>
        <w:tab w:val="left" w:pos="340"/>
      </w:tabs>
      <w:spacing w:before="60" w:after="60"/>
      <w:ind w:left="340" w:hanging="340"/>
    </w:pPr>
  </w:style>
  <w:style w:type="paragraph" w:customStyle="1" w:styleId="Note">
    <w:name w:val="Note"/>
    <w:basedOn w:val="BodyText"/>
    <w:rsid w:val="00B66C3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66C38"/>
    <w:rPr>
      <w:b/>
      <w:spacing w:val="0"/>
    </w:rPr>
  </w:style>
  <w:style w:type="paragraph" w:customStyle="1" w:styleId="SuperTitle">
    <w:name w:val="SuperTitle"/>
    <w:basedOn w:val="Title"/>
    <w:rsid w:val="00B66C38"/>
    <w:pPr>
      <w:framePr w:wrap="auto" w:hAnchor="text" w:y="6049"/>
    </w:pPr>
    <w:rPr>
      <w:color w:val="000000"/>
      <w:sz w:val="40"/>
    </w:rPr>
  </w:style>
  <w:style w:type="paragraph" w:customStyle="1" w:styleId="TOCTitle">
    <w:name w:val="TOCTitle"/>
    <w:basedOn w:val="Heading1"/>
    <w:rsid w:val="00B66C38"/>
    <w:pPr>
      <w:spacing w:after="240"/>
      <w:jc w:val="center"/>
      <w:outlineLvl w:val="9"/>
    </w:pPr>
    <w:rPr>
      <w:caps/>
    </w:rPr>
  </w:style>
  <w:style w:type="paragraph" w:customStyle="1" w:styleId="Version">
    <w:name w:val="Version"/>
    <w:rsid w:val="00B66C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6C38"/>
    <w:pPr>
      <w:keepNext w:val="0"/>
      <w:tabs>
        <w:tab w:val="right" w:pos="4176"/>
      </w:tabs>
      <w:ind w:left="198" w:hanging="198"/>
    </w:pPr>
    <w:rPr>
      <w:rFonts w:ascii="Garamond" w:hAnsi="Garamond"/>
    </w:rPr>
  </w:style>
  <w:style w:type="paragraph" w:styleId="IndexHeading">
    <w:name w:val="index heading"/>
    <w:basedOn w:val="Normal"/>
    <w:next w:val="Index1"/>
    <w:semiHidden/>
    <w:rsid w:val="00B66C38"/>
    <w:pPr>
      <w:spacing w:before="120" w:after="120"/>
    </w:pPr>
    <w:rPr>
      <w:rFonts w:ascii="Arial" w:hAnsi="Arial"/>
      <w:b/>
      <w:color w:val="918585"/>
      <w:sz w:val="24"/>
    </w:rPr>
  </w:style>
  <w:style w:type="paragraph" w:styleId="Header">
    <w:name w:val="header"/>
    <w:basedOn w:val="Normal"/>
    <w:link w:val="HeaderChar"/>
    <w:rsid w:val="00B66C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6C38"/>
    <w:rPr>
      <w:rFonts w:ascii="Times New Roman" w:eastAsia="Times New Roman" w:hAnsi="Times New Roman" w:cs="Times New Roman"/>
      <w:sz w:val="16"/>
      <w:szCs w:val="20"/>
      <w:lang w:val="en-GB" w:eastAsia="en-US"/>
    </w:rPr>
  </w:style>
  <w:style w:type="paragraph" w:customStyle="1" w:styleId="Chapter">
    <w:name w:val="Chapter"/>
    <w:basedOn w:val="Normal"/>
    <w:rsid w:val="00B66C38"/>
    <w:pPr>
      <w:spacing w:before="240"/>
    </w:pPr>
    <w:rPr>
      <w:rFonts w:ascii="Times New Roman" w:hAnsi="Times New Roman"/>
      <w:smallCaps/>
      <w:spacing w:val="80"/>
      <w:sz w:val="28"/>
    </w:rPr>
  </w:style>
  <w:style w:type="paragraph" w:customStyle="1" w:styleId="InChapter">
    <w:name w:val="InChapter"/>
    <w:basedOn w:val="Heading3"/>
    <w:rsid w:val="00B66C38"/>
    <w:pPr>
      <w:spacing w:after="240"/>
      <w:outlineLvl w:val="9"/>
    </w:pPr>
    <w:rPr>
      <w:noProof/>
    </w:rPr>
  </w:style>
  <w:style w:type="paragraph" w:styleId="Index2">
    <w:name w:val="index 2"/>
    <w:basedOn w:val="Normal"/>
    <w:next w:val="Normal"/>
    <w:semiHidden/>
    <w:rsid w:val="00B66C38"/>
    <w:pPr>
      <w:tabs>
        <w:tab w:val="right" w:pos="4176"/>
      </w:tabs>
      <w:ind w:left="568" w:hanging="284"/>
    </w:pPr>
    <w:rPr>
      <w:rFonts w:ascii="Garamond" w:hAnsi="Garamond"/>
    </w:rPr>
  </w:style>
  <w:style w:type="paragraph" w:customStyle="1" w:styleId="Byline">
    <w:name w:val="Byline"/>
    <w:rsid w:val="00B66C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6C38"/>
    <w:pPr>
      <w:tabs>
        <w:tab w:val="clear" w:pos="3600"/>
        <w:tab w:val="clear" w:pos="3958"/>
      </w:tabs>
      <w:jc w:val="right"/>
    </w:pPr>
  </w:style>
  <w:style w:type="character" w:styleId="Emphasis">
    <w:name w:val="Emphasis"/>
    <w:basedOn w:val="DefaultParagraphFont"/>
    <w:qFormat/>
    <w:rsid w:val="00B66C38"/>
    <w:rPr>
      <w:i/>
    </w:rPr>
  </w:style>
  <w:style w:type="paragraph" w:styleId="Caption">
    <w:name w:val="caption"/>
    <w:basedOn w:val="BodyText"/>
    <w:next w:val="Normal"/>
    <w:qFormat/>
    <w:rsid w:val="00B66C38"/>
    <w:pPr>
      <w:framePr w:w="2268" w:hSpace="181" w:vSpace="181" w:wrap="around" w:vAnchor="text" w:hAnchor="page" w:x="1135" w:y="285" w:anchorLock="1"/>
    </w:pPr>
    <w:rPr>
      <w:i/>
    </w:rPr>
  </w:style>
  <w:style w:type="paragraph" w:customStyle="1" w:styleId="MiniTOCTitle">
    <w:name w:val="MiniTOCTitle"/>
    <w:basedOn w:val="Heading4"/>
    <w:rsid w:val="00B66C38"/>
    <w:pPr>
      <w:spacing w:before="240"/>
      <w:outlineLvl w:val="9"/>
    </w:pPr>
    <w:rPr>
      <w:noProof/>
      <w:sz w:val="24"/>
    </w:rPr>
  </w:style>
  <w:style w:type="paragraph" w:customStyle="1" w:styleId="MiniTOCItem">
    <w:name w:val="MiniTOCItem"/>
    <w:basedOn w:val="ListBullet"/>
    <w:rsid w:val="00B66C38"/>
    <w:pPr>
      <w:numPr>
        <w:numId w:val="0"/>
      </w:numPr>
      <w:tabs>
        <w:tab w:val="right" w:leader="dot" w:pos="6521"/>
      </w:tabs>
      <w:spacing w:before="0" w:after="0"/>
    </w:pPr>
  </w:style>
  <w:style w:type="paragraph" w:customStyle="1" w:styleId="TOFTitle">
    <w:name w:val="TOFTitle"/>
    <w:basedOn w:val="TOCTitle"/>
    <w:rsid w:val="00B66C38"/>
  </w:style>
  <w:style w:type="paragraph" w:styleId="TableofFigures">
    <w:name w:val="table of figures"/>
    <w:basedOn w:val="Normal"/>
    <w:next w:val="Normal"/>
    <w:semiHidden/>
    <w:rsid w:val="00B66C38"/>
    <w:pPr>
      <w:tabs>
        <w:tab w:val="right" w:leader="dot" w:pos="9072"/>
      </w:tabs>
      <w:ind w:left="970" w:hanging="403"/>
    </w:pPr>
    <w:rPr>
      <w:rFonts w:ascii="Times New Roman" w:hAnsi="Times New Roman"/>
      <w:b/>
    </w:rPr>
  </w:style>
  <w:style w:type="paragraph" w:styleId="ListNumber">
    <w:name w:val="List Number"/>
    <w:basedOn w:val="List"/>
    <w:rsid w:val="00B66C38"/>
    <w:pPr>
      <w:numPr>
        <w:numId w:val="16"/>
      </w:numPr>
      <w:tabs>
        <w:tab w:val="clear" w:pos="340"/>
      </w:tabs>
    </w:pPr>
  </w:style>
  <w:style w:type="character" w:customStyle="1" w:styleId="WingdingSymbols">
    <w:name w:val="Wingding Symbols"/>
    <w:rsid w:val="00B66C38"/>
    <w:rPr>
      <w:rFonts w:ascii="Wingdings" w:hAnsi="Wingdings"/>
    </w:rPr>
  </w:style>
  <w:style w:type="paragraph" w:customStyle="1" w:styleId="TableHeading">
    <w:name w:val="Table Heading"/>
    <w:basedOn w:val="HeadingBase"/>
    <w:rsid w:val="00B66C38"/>
    <w:pPr>
      <w:keepLines/>
      <w:pBdr>
        <w:bottom w:val="single" w:sz="6" w:space="1" w:color="918585"/>
      </w:pBdr>
      <w:spacing w:before="240"/>
    </w:pPr>
  </w:style>
  <w:style w:type="character" w:customStyle="1" w:styleId="HotSpot">
    <w:name w:val="HotSpot"/>
    <w:rsid w:val="00B66C38"/>
    <w:rPr>
      <w:color w:val="0033CC"/>
      <w:u w:val="none"/>
    </w:rPr>
  </w:style>
  <w:style w:type="paragraph" w:customStyle="1" w:styleId="BodyTextRight">
    <w:name w:val="Body Text Right"/>
    <w:basedOn w:val="BodyText"/>
    <w:rsid w:val="00B66C38"/>
    <w:pPr>
      <w:spacing w:before="0" w:after="0"/>
      <w:jc w:val="right"/>
    </w:pPr>
  </w:style>
  <w:style w:type="paragraph" w:styleId="Index3">
    <w:name w:val="index 3"/>
    <w:basedOn w:val="ListNumber2"/>
    <w:next w:val="Normal"/>
    <w:semiHidden/>
    <w:rsid w:val="00B66C38"/>
    <w:pPr>
      <w:numPr>
        <w:numId w:val="0"/>
      </w:numPr>
      <w:tabs>
        <w:tab w:val="right" w:leader="dot" w:pos="4176"/>
      </w:tabs>
    </w:pPr>
  </w:style>
  <w:style w:type="paragraph" w:styleId="ListNumber2">
    <w:name w:val="List Number 2"/>
    <w:basedOn w:val="List2"/>
    <w:rsid w:val="00B66C38"/>
    <w:pPr>
      <w:numPr>
        <w:numId w:val="11"/>
      </w:numPr>
      <w:tabs>
        <w:tab w:val="clear" w:pos="1060"/>
      </w:tabs>
    </w:pPr>
  </w:style>
  <w:style w:type="paragraph" w:customStyle="1" w:styleId="MarginNote">
    <w:name w:val="Margin Note"/>
    <w:basedOn w:val="BodyText"/>
    <w:rsid w:val="00B66C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6C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6C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6C38"/>
    <w:rPr>
      <w:sz w:val="32"/>
    </w:rPr>
  </w:style>
  <w:style w:type="paragraph" w:customStyle="1" w:styleId="HeadingProcedure">
    <w:name w:val="Heading Procedure"/>
    <w:basedOn w:val="HeadingBase"/>
    <w:next w:val="Normal"/>
    <w:rsid w:val="00B66C38"/>
    <w:pPr>
      <w:tabs>
        <w:tab w:val="left" w:pos="0"/>
      </w:tabs>
      <w:spacing w:before="120" w:after="60"/>
    </w:pPr>
    <w:rPr>
      <w:i/>
      <w:color w:val="918585"/>
      <w:sz w:val="22"/>
    </w:rPr>
  </w:style>
  <w:style w:type="paragraph" w:customStyle="1" w:styleId="TableBodyText">
    <w:name w:val="Table Body Text"/>
    <w:basedOn w:val="BodyText"/>
    <w:rsid w:val="00B66C38"/>
    <w:pPr>
      <w:spacing w:before="60" w:after="60"/>
    </w:pPr>
  </w:style>
  <w:style w:type="paragraph" w:styleId="ListContinue">
    <w:name w:val="List Continue"/>
    <w:basedOn w:val="List"/>
    <w:rsid w:val="00B66C38"/>
    <w:pPr>
      <w:ind w:firstLine="0"/>
    </w:pPr>
  </w:style>
  <w:style w:type="paragraph" w:customStyle="1" w:styleId="ListNote">
    <w:name w:val="List Note"/>
    <w:basedOn w:val="List"/>
    <w:rsid w:val="00B66C38"/>
    <w:pPr>
      <w:pBdr>
        <w:top w:val="single" w:sz="6" w:space="2" w:color="918585"/>
        <w:bottom w:val="single" w:sz="6" w:space="2" w:color="918585"/>
      </w:pBdr>
      <w:tabs>
        <w:tab w:val="left" w:pos="1021"/>
      </w:tabs>
      <w:ind w:firstLine="0"/>
    </w:pPr>
  </w:style>
  <w:style w:type="paragraph" w:customStyle="1" w:styleId="Warning">
    <w:name w:val="Warning"/>
    <w:basedOn w:val="BodyText"/>
    <w:rsid w:val="00B66C38"/>
    <w:pPr>
      <w:shd w:val="clear" w:color="auto" w:fill="D9D9D9"/>
      <w:tabs>
        <w:tab w:val="left" w:pos="992"/>
      </w:tabs>
      <w:ind w:left="119" w:right="119"/>
    </w:pPr>
    <w:rPr>
      <w:sz w:val="20"/>
    </w:rPr>
  </w:style>
  <w:style w:type="paragraph" w:customStyle="1" w:styleId="MarginIcons">
    <w:name w:val="Margin Icons"/>
    <w:basedOn w:val="BodyText"/>
    <w:rsid w:val="00B66C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6C38"/>
    <w:rPr>
      <w:rFonts w:ascii="Courier New" w:hAnsi="Courier New"/>
    </w:rPr>
  </w:style>
  <w:style w:type="paragraph" w:customStyle="1" w:styleId="NoteBullet">
    <w:name w:val="Note Bullet"/>
    <w:basedOn w:val="Note"/>
    <w:rsid w:val="00B66C38"/>
    <w:pPr>
      <w:tabs>
        <w:tab w:val="clear" w:pos="680"/>
      </w:tabs>
      <w:spacing w:before="60" w:after="60"/>
    </w:pPr>
  </w:style>
  <w:style w:type="paragraph" w:customStyle="1" w:styleId="SubHeading2">
    <w:name w:val="SubHeading2"/>
    <w:basedOn w:val="HeadingBase"/>
    <w:rsid w:val="00B66C38"/>
    <w:pPr>
      <w:spacing w:before="240" w:after="60"/>
    </w:pPr>
    <w:rPr>
      <w:sz w:val="20"/>
    </w:rPr>
  </w:style>
  <w:style w:type="paragraph" w:customStyle="1" w:styleId="SubHeading1">
    <w:name w:val="SubHeading1"/>
    <w:basedOn w:val="HeadingBase"/>
    <w:rsid w:val="00B66C38"/>
    <w:pPr>
      <w:spacing w:before="240" w:after="60"/>
    </w:pPr>
    <w:rPr>
      <w:color w:val="918585"/>
      <w:sz w:val="22"/>
    </w:rPr>
  </w:style>
  <w:style w:type="paragraph" w:customStyle="1" w:styleId="SideHeading">
    <w:name w:val="Side Heading"/>
    <w:basedOn w:val="HeadingBase"/>
    <w:rsid w:val="00B66C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6C38"/>
    <w:pPr>
      <w:numPr>
        <w:numId w:val="12"/>
      </w:numPr>
    </w:pPr>
  </w:style>
  <w:style w:type="paragraph" w:styleId="PlainText">
    <w:name w:val="Plain Text"/>
    <w:basedOn w:val="Normal"/>
    <w:link w:val="PlainTextChar"/>
    <w:rsid w:val="00B66C38"/>
    <w:rPr>
      <w:sz w:val="20"/>
    </w:rPr>
  </w:style>
  <w:style w:type="character" w:customStyle="1" w:styleId="PlainTextChar">
    <w:name w:val="Plain Text Char"/>
    <w:basedOn w:val="DefaultParagraphFont"/>
    <w:link w:val="PlainText"/>
    <w:rsid w:val="00B66C38"/>
    <w:rPr>
      <w:rFonts w:ascii="Courier New" w:eastAsia="Times New Roman" w:hAnsi="Courier New" w:cs="Times New Roman"/>
      <w:sz w:val="20"/>
      <w:szCs w:val="20"/>
      <w:lang w:eastAsia="en-US"/>
    </w:rPr>
  </w:style>
  <w:style w:type="character" w:customStyle="1" w:styleId="MenuOption">
    <w:name w:val="Menu Option"/>
    <w:basedOn w:val="DefaultParagraphFont"/>
    <w:rsid w:val="00B66C38"/>
    <w:rPr>
      <w:b/>
      <w:smallCaps/>
    </w:rPr>
  </w:style>
  <w:style w:type="paragraph" w:customStyle="1" w:styleId="TableListNumber">
    <w:name w:val="Table List Number"/>
    <w:basedOn w:val="ListNumber"/>
    <w:rsid w:val="00B66C38"/>
    <w:pPr>
      <w:numPr>
        <w:numId w:val="0"/>
      </w:numPr>
    </w:pPr>
  </w:style>
  <w:style w:type="paragraph" w:styleId="TOC4">
    <w:name w:val="toc 4"/>
    <w:basedOn w:val="TOCBase"/>
    <w:next w:val="Normal"/>
    <w:semiHidden/>
    <w:rsid w:val="00B66C38"/>
    <w:pPr>
      <w:tabs>
        <w:tab w:val="right" w:leader="dot" w:pos="9071"/>
      </w:tabs>
      <w:ind w:left="1701"/>
    </w:pPr>
  </w:style>
  <w:style w:type="paragraph" w:customStyle="1" w:styleId="ListAlpha">
    <w:name w:val="List Alpha"/>
    <w:basedOn w:val="List"/>
    <w:rsid w:val="00B66C38"/>
    <w:pPr>
      <w:numPr>
        <w:numId w:val="10"/>
      </w:numPr>
    </w:pPr>
  </w:style>
  <w:style w:type="paragraph" w:customStyle="1" w:styleId="ListAlpha2">
    <w:name w:val="List Alpha 2"/>
    <w:basedOn w:val="List2"/>
    <w:rsid w:val="00B66C38"/>
    <w:pPr>
      <w:numPr>
        <w:numId w:val="9"/>
      </w:numPr>
    </w:pPr>
  </w:style>
  <w:style w:type="paragraph" w:styleId="List2">
    <w:name w:val="List 2"/>
    <w:basedOn w:val="BodyText"/>
    <w:rsid w:val="00B66C38"/>
    <w:pPr>
      <w:tabs>
        <w:tab w:val="left" w:pos="680"/>
      </w:tabs>
      <w:spacing w:before="60" w:after="60"/>
      <w:ind w:left="680" w:hanging="340"/>
    </w:pPr>
  </w:style>
  <w:style w:type="paragraph" w:styleId="List3">
    <w:name w:val="List 3"/>
    <w:basedOn w:val="BodyText"/>
    <w:rsid w:val="00B66C38"/>
    <w:pPr>
      <w:tabs>
        <w:tab w:val="left" w:pos="1021"/>
      </w:tabs>
      <w:spacing w:before="60" w:after="60"/>
      <w:ind w:left="1020" w:hanging="340"/>
    </w:pPr>
  </w:style>
  <w:style w:type="paragraph" w:styleId="List4">
    <w:name w:val="List 4"/>
    <w:basedOn w:val="BodyText"/>
    <w:rsid w:val="00B66C38"/>
    <w:pPr>
      <w:tabs>
        <w:tab w:val="left" w:pos="1361"/>
      </w:tabs>
      <w:spacing w:before="60" w:after="60"/>
      <w:ind w:left="1361" w:hanging="340"/>
    </w:pPr>
  </w:style>
  <w:style w:type="paragraph" w:styleId="List5">
    <w:name w:val="List 5"/>
    <w:basedOn w:val="BodyText"/>
    <w:rsid w:val="00B66C38"/>
    <w:pPr>
      <w:tabs>
        <w:tab w:val="left" w:pos="1701"/>
      </w:tabs>
      <w:spacing w:before="60" w:after="60"/>
      <w:ind w:left="1701" w:hanging="340"/>
    </w:pPr>
  </w:style>
  <w:style w:type="paragraph" w:styleId="ListBullet4">
    <w:name w:val="List Bullet 4"/>
    <w:basedOn w:val="List4"/>
    <w:rsid w:val="00B66C38"/>
    <w:pPr>
      <w:numPr>
        <w:numId w:val="4"/>
      </w:numPr>
      <w:tabs>
        <w:tab w:val="clear" w:pos="1361"/>
      </w:tabs>
    </w:pPr>
  </w:style>
  <w:style w:type="paragraph" w:styleId="ListBullet5">
    <w:name w:val="List Bullet 5"/>
    <w:basedOn w:val="List5"/>
    <w:rsid w:val="00B66C38"/>
    <w:pPr>
      <w:numPr>
        <w:numId w:val="5"/>
      </w:numPr>
    </w:pPr>
  </w:style>
  <w:style w:type="paragraph" w:styleId="ListContinue2">
    <w:name w:val="List Continue 2"/>
    <w:basedOn w:val="List2"/>
    <w:rsid w:val="00B66C38"/>
    <w:pPr>
      <w:ind w:firstLine="0"/>
    </w:pPr>
  </w:style>
  <w:style w:type="paragraph" w:styleId="ListContinue3">
    <w:name w:val="List Continue 3"/>
    <w:basedOn w:val="List3"/>
    <w:rsid w:val="00B66C38"/>
    <w:pPr>
      <w:ind w:left="1021" w:firstLine="0"/>
    </w:pPr>
  </w:style>
  <w:style w:type="paragraph" w:styleId="ListContinue4">
    <w:name w:val="List Continue 4"/>
    <w:basedOn w:val="List4"/>
    <w:rsid w:val="00B66C38"/>
    <w:pPr>
      <w:ind w:firstLine="0"/>
    </w:pPr>
  </w:style>
  <w:style w:type="paragraph" w:styleId="ListContinue5">
    <w:name w:val="List Continue 5"/>
    <w:basedOn w:val="List5"/>
    <w:rsid w:val="00B66C38"/>
    <w:pPr>
      <w:ind w:firstLine="0"/>
    </w:pPr>
  </w:style>
  <w:style w:type="paragraph" w:styleId="ListNumber3">
    <w:name w:val="List Number 3"/>
    <w:basedOn w:val="List3"/>
    <w:rsid w:val="00B66C38"/>
    <w:pPr>
      <w:numPr>
        <w:numId w:val="6"/>
      </w:numPr>
    </w:pPr>
  </w:style>
  <w:style w:type="paragraph" w:styleId="ListNumber4">
    <w:name w:val="List Number 4"/>
    <w:basedOn w:val="List4"/>
    <w:rsid w:val="00B66C38"/>
    <w:pPr>
      <w:numPr>
        <w:numId w:val="7"/>
      </w:numPr>
    </w:pPr>
  </w:style>
  <w:style w:type="paragraph" w:styleId="ListNumber5">
    <w:name w:val="List Number 5"/>
    <w:basedOn w:val="List5"/>
    <w:rsid w:val="00B66C38"/>
    <w:pPr>
      <w:numPr>
        <w:numId w:val="8"/>
      </w:numPr>
    </w:pPr>
  </w:style>
  <w:style w:type="paragraph" w:styleId="BlockText">
    <w:name w:val="Block Text"/>
    <w:basedOn w:val="Normal"/>
    <w:rsid w:val="00B66C38"/>
    <w:pPr>
      <w:spacing w:after="120"/>
      <w:ind w:left="1440" w:right="1440"/>
    </w:pPr>
  </w:style>
  <w:style w:type="character" w:customStyle="1" w:styleId="Subscript">
    <w:name w:val="Subscript"/>
    <w:basedOn w:val="DefaultParagraphFont"/>
    <w:rsid w:val="00B66C38"/>
    <w:rPr>
      <w:sz w:val="16"/>
      <w:vertAlign w:val="subscript"/>
    </w:rPr>
  </w:style>
  <w:style w:type="character" w:customStyle="1" w:styleId="Superscript">
    <w:name w:val="Superscript"/>
    <w:basedOn w:val="DefaultParagraphFont"/>
    <w:rsid w:val="00B66C38"/>
    <w:rPr>
      <w:sz w:val="16"/>
      <w:vertAlign w:val="superscript"/>
    </w:rPr>
  </w:style>
  <w:style w:type="character" w:customStyle="1" w:styleId="Symbols">
    <w:name w:val="Symbols"/>
    <w:basedOn w:val="DefaultParagraphFont"/>
    <w:rsid w:val="00B66C38"/>
    <w:rPr>
      <w:rFonts w:ascii="Symbol" w:hAnsi="Symbol"/>
    </w:rPr>
  </w:style>
  <w:style w:type="character" w:customStyle="1" w:styleId="MenuOptions">
    <w:name w:val="Menu Options"/>
    <w:basedOn w:val="DefaultParagraphFont"/>
    <w:rsid w:val="00B66C38"/>
    <w:rPr>
      <w:rFonts w:ascii="Arial Narrow" w:hAnsi="Arial Narrow"/>
      <w:smallCaps/>
    </w:rPr>
  </w:style>
  <w:style w:type="character" w:customStyle="1" w:styleId="Buttons">
    <w:name w:val="Buttons"/>
    <w:basedOn w:val="DefaultParagraphFont"/>
    <w:rsid w:val="00B66C38"/>
    <w:rPr>
      <w:b/>
    </w:rPr>
  </w:style>
  <w:style w:type="character" w:customStyle="1" w:styleId="Underlined">
    <w:name w:val="Underlined"/>
    <w:basedOn w:val="DefaultParagraphFont"/>
    <w:rsid w:val="00B66C38"/>
    <w:rPr>
      <w:u w:val="single"/>
    </w:rPr>
  </w:style>
  <w:style w:type="paragraph" w:customStyle="1" w:styleId="TableBodyTextRight">
    <w:name w:val="Table Body Text Right"/>
    <w:basedOn w:val="TableBodyText"/>
    <w:rsid w:val="00B66C38"/>
    <w:pPr>
      <w:widowControl w:val="0"/>
      <w:autoSpaceDE w:val="0"/>
      <w:autoSpaceDN w:val="0"/>
      <w:adjustRightInd w:val="0"/>
      <w:jc w:val="right"/>
    </w:pPr>
    <w:rPr>
      <w:rFonts w:cs="Arial"/>
      <w:szCs w:val="18"/>
    </w:rPr>
  </w:style>
  <w:style w:type="paragraph" w:customStyle="1" w:styleId="CopyrightText">
    <w:name w:val="Copyright Text"/>
    <w:basedOn w:val="BodyText"/>
    <w:rsid w:val="00B66C38"/>
    <w:rPr>
      <w:sz w:val="18"/>
    </w:rPr>
  </w:style>
  <w:style w:type="paragraph" w:customStyle="1" w:styleId="BodySmallRight">
    <w:name w:val="Body Small Right"/>
    <w:basedOn w:val="BodyTextRight"/>
    <w:rsid w:val="00B66C38"/>
    <w:rPr>
      <w:sz w:val="18"/>
      <w:szCs w:val="18"/>
    </w:rPr>
  </w:style>
  <w:style w:type="paragraph" w:customStyle="1" w:styleId="MarginEdition">
    <w:name w:val="Margin Edition"/>
    <w:basedOn w:val="MarginNote"/>
    <w:rsid w:val="00B66C38"/>
    <w:pPr>
      <w:spacing w:before="0" w:after="0"/>
    </w:pPr>
    <w:rPr>
      <w:rFonts w:ascii="Times New Roman" w:hAnsi="Times New Roman"/>
      <w:color w:val="999999"/>
    </w:rPr>
  </w:style>
  <w:style w:type="paragraph" w:customStyle="1" w:styleId="Spacer">
    <w:name w:val="Spacer"/>
    <w:basedOn w:val="Normal"/>
    <w:rsid w:val="00B66C38"/>
    <w:rPr>
      <w:sz w:val="2"/>
      <w:szCs w:val="2"/>
    </w:rPr>
  </w:style>
  <w:style w:type="character" w:customStyle="1" w:styleId="Small">
    <w:name w:val="Small"/>
    <w:basedOn w:val="DefaultParagraphFont"/>
    <w:rsid w:val="00B66C38"/>
    <w:rPr>
      <w:sz w:val="16"/>
    </w:rPr>
  </w:style>
  <w:style w:type="paragraph" w:customStyle="1" w:styleId="WideTable">
    <w:name w:val="Wide Table"/>
    <w:basedOn w:val="Normal"/>
    <w:rsid w:val="00B66C38"/>
    <w:pPr>
      <w:ind w:left="-1418"/>
    </w:pPr>
    <w:rPr>
      <w:sz w:val="2"/>
      <w:szCs w:val="2"/>
    </w:rPr>
  </w:style>
  <w:style w:type="character" w:styleId="PageNumber">
    <w:name w:val="page number"/>
    <w:basedOn w:val="DefaultParagraphFont"/>
    <w:rsid w:val="00B66C38"/>
  </w:style>
  <w:style w:type="paragraph" w:styleId="Quote">
    <w:name w:val="Quote"/>
    <w:basedOn w:val="Heading1"/>
    <w:link w:val="QuoteChar"/>
    <w:qFormat/>
    <w:rsid w:val="00B66C38"/>
    <w:rPr>
      <w:b w:val="0"/>
      <w:sz w:val="72"/>
      <w:szCs w:val="72"/>
      <w:lang w:val="en-NZ"/>
    </w:rPr>
  </w:style>
  <w:style w:type="character" w:customStyle="1" w:styleId="QuoteChar">
    <w:name w:val="Quote Char"/>
    <w:basedOn w:val="DefaultParagraphFont"/>
    <w:link w:val="Quote"/>
    <w:rsid w:val="00B66C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6C38"/>
    <w:pPr>
      <w:pageBreakBefore/>
    </w:pPr>
  </w:style>
  <w:style w:type="paragraph" w:customStyle="1" w:styleId="Border">
    <w:name w:val="Border"/>
    <w:basedOn w:val="Normal"/>
    <w:qFormat/>
    <w:rsid w:val="00B66C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6C38"/>
    <w:rPr>
      <w:b/>
      <w:bCs/>
      <w:i/>
      <w:iCs/>
      <w:color w:val="auto"/>
    </w:rPr>
  </w:style>
  <w:style w:type="paragraph" w:styleId="IntenseQuote">
    <w:name w:val="Intense Quote"/>
    <w:basedOn w:val="Normal"/>
    <w:next w:val="Normal"/>
    <w:link w:val="IntenseQuoteChar"/>
    <w:uiPriority w:val="30"/>
    <w:qFormat/>
    <w:rsid w:val="00B66C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6C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6C38"/>
    <w:rPr>
      <w:smallCaps/>
      <w:color w:val="auto"/>
      <w:u w:val="single"/>
    </w:rPr>
  </w:style>
  <w:style w:type="character" w:styleId="IntenseReference">
    <w:name w:val="Intense Reference"/>
    <w:basedOn w:val="DefaultParagraphFont"/>
    <w:uiPriority w:val="32"/>
    <w:qFormat/>
    <w:rsid w:val="00B66C38"/>
    <w:rPr>
      <w:b/>
      <w:bCs/>
      <w:smallCaps/>
      <w:color w:val="auto"/>
      <w:spacing w:val="5"/>
      <w:u w:val="single"/>
    </w:rPr>
  </w:style>
  <w:style w:type="paragraph" w:customStyle="1" w:styleId="2ColumnHeading">
    <w:name w:val="2Column Heading"/>
    <w:basedOn w:val="BodyText"/>
    <w:qFormat/>
    <w:rsid w:val="00B66C38"/>
    <w:pPr>
      <w:spacing w:after="60"/>
      <w:ind w:left="-2268"/>
    </w:pPr>
    <w:rPr>
      <w:b/>
    </w:rPr>
  </w:style>
  <w:style w:type="paragraph" w:customStyle="1" w:styleId="Heading1TOC">
    <w:name w:val="Heading1 TOC"/>
    <w:basedOn w:val="Normal"/>
    <w:qFormat/>
    <w:rsid w:val="00B66C38"/>
    <w:pPr>
      <w:spacing w:before="240" w:after="120"/>
    </w:pPr>
    <w:rPr>
      <w:rFonts w:ascii="Times New Roman" w:hAnsi="Times New Roman"/>
      <w:b/>
      <w:sz w:val="32"/>
    </w:rPr>
  </w:style>
  <w:style w:type="paragraph" w:customStyle="1" w:styleId="Heading2TOC">
    <w:name w:val="Heading2 TOC"/>
    <w:basedOn w:val="Normal"/>
    <w:qFormat/>
    <w:rsid w:val="00B66C38"/>
    <w:pPr>
      <w:spacing w:before="240" w:after="60"/>
    </w:pPr>
    <w:rPr>
      <w:rFonts w:ascii="Times New Roman" w:hAnsi="Times New Roman"/>
      <w:b/>
      <w:sz w:val="28"/>
    </w:rPr>
  </w:style>
  <w:style w:type="character" w:customStyle="1" w:styleId="Underline">
    <w:name w:val="Underline"/>
    <w:basedOn w:val="DefaultParagraphFont"/>
    <w:qFormat/>
    <w:rsid w:val="00B66C38"/>
    <w:rPr>
      <w:u w:val="single"/>
    </w:rPr>
  </w:style>
  <w:style w:type="character" w:customStyle="1" w:styleId="BoldandItalics">
    <w:name w:val="Bold and Italics"/>
    <w:qFormat/>
    <w:rsid w:val="00B66C38"/>
    <w:rPr>
      <w:b/>
      <w:i/>
      <w:u w:val="none"/>
    </w:rPr>
  </w:style>
  <w:style w:type="paragraph" w:styleId="BalloonText">
    <w:name w:val="Balloon Text"/>
    <w:basedOn w:val="Normal"/>
    <w:link w:val="BalloonTextChar"/>
    <w:rsid w:val="00B66C38"/>
    <w:rPr>
      <w:rFonts w:ascii="Tahoma" w:hAnsi="Tahoma" w:cs="Tahoma"/>
      <w:sz w:val="16"/>
      <w:szCs w:val="16"/>
    </w:rPr>
  </w:style>
  <w:style w:type="character" w:customStyle="1" w:styleId="BalloonTextChar">
    <w:name w:val="Balloon Text Char"/>
    <w:basedOn w:val="DefaultParagraphFont"/>
    <w:link w:val="BalloonText"/>
    <w:rsid w:val="00B66C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6C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6C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6C38"/>
    <w:rPr>
      <w:b/>
      <w:color w:val="660033"/>
      <w:spacing w:val="0"/>
    </w:rPr>
  </w:style>
  <w:style w:type="paragraph" w:customStyle="1" w:styleId="Nameditemlist">
    <w:name w:val="Named item list"/>
    <w:basedOn w:val="BodyText"/>
    <w:qFormat/>
    <w:rsid w:val="00B66C38"/>
    <w:pPr>
      <w:tabs>
        <w:tab w:val="left" w:pos="2835"/>
      </w:tabs>
      <w:ind w:left="2835" w:hanging="2835"/>
    </w:pPr>
  </w:style>
  <w:style w:type="paragraph" w:customStyle="1" w:styleId="BodyTextnopadding">
    <w:name w:val="Body Text no padding"/>
    <w:basedOn w:val="BodyText"/>
    <w:qFormat/>
    <w:rsid w:val="00B66C38"/>
    <w:pPr>
      <w:spacing w:before="0" w:after="0"/>
    </w:pPr>
  </w:style>
  <w:style w:type="paragraph" w:customStyle="1" w:styleId="BodyTextBold">
    <w:name w:val="Body Text Bold"/>
    <w:basedOn w:val="BodyText"/>
    <w:qFormat/>
    <w:rsid w:val="00B66C38"/>
    <w:rPr>
      <w:b/>
    </w:rPr>
  </w:style>
  <w:style w:type="character" w:styleId="Hyperlink">
    <w:name w:val="Hyperlink"/>
    <w:basedOn w:val="DefaultParagraphFont"/>
    <w:uiPriority w:val="99"/>
    <w:unhideWhenUsed/>
    <w:rsid w:val="00395B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893</Words>
  <Characters>5468</Characters>
  <Application>Microsoft Office Word</Application>
  <DocSecurity>0</DocSecurity>
  <Lines>143</Lines>
  <Paragraphs>99</Paragraphs>
  <ScaleCrop>false</ScaleCrop>
  <Company>Author-it Software Corporation Ltd.</Company>
  <LinksUpToDate>false</LinksUpToDate>
  <CharactersWithSpaces>6262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RIIOGD205D Support blow out prevention operations</dc:title>
  <dc:subject>Approved</dc:subject>
  <dc:creator>PwC’s Skills for Australia</dc:creator>
  <cp:keywords>Release: 2</cp:keywords>
  <dc:description>Review Date: 12 April 2008</dc:description>
  <cp:lastModifiedBy>HSD_TPCMSd.prod</cp:lastModifiedBy>
  <cp:revision>3</cp:revision>
  <dcterms:created xsi:type="dcterms:W3CDTF">2020-07-08T05:41:00Z</dcterms:created>
  <dcterms:modified xsi:type="dcterms:W3CDTF">2020-07-08T05:41:00Z</dcterms:modified>
</cp:coreProperties>
</file>