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47A" w:rsidP="0049347A">
      <w:pPr>
        <w:pStyle w:val="Title"/>
      </w:pPr>
      <w:r>
        <w:fldChar w:fldCharType="begin"/>
      </w:r>
      <w:r>
        <w:instrText xml:space="preserve"> TITLE   \* MERGEFORMAT </w:instrText>
      </w:r>
      <w:r>
        <w:fldChar w:fldCharType="separate"/>
      </w:r>
      <w:r>
        <w:t>Assessment Requirements for RIIOGD204E Perform rig floor operations</w:t>
      </w:r>
      <w:r>
        <w:fldChar w:fldCharType="end"/>
      </w:r>
    </w:p>
    <w:p w:rsidR="0049347A" w:rsidP="0049347A">
      <w:pPr>
        <w:pStyle w:val="Version"/>
        <w:sectPr w:rsidSect="000106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661" w:rsidP="00010661">
      <w:pPr>
        <w:pStyle w:val="SuperHeading"/>
      </w:pPr>
      <w:r w:rsidRPr="00010661">
        <w:t>Assessment Requirements for RIIOGD204E Perform rig floor operations</w:t>
      </w:r>
    </w:p>
    <w:p w:rsidR="00000000" w:rsidRPr="00010661" w:rsidP="00010661">
      <w:pPr>
        <w:pStyle w:val="Heading1"/>
      </w:pPr>
      <w:bookmarkStart w:id="1" w:name="O_849518"/>
      <w:bookmarkEnd w:id="1"/>
      <w:r w:rsidRPr="00010661">
        <w:t>Modification History</w:t>
      </w:r>
    </w:p>
    <w:tbl>
      <w:tblPr>
        <w:tblW w:w="0" w:type="auto"/>
        <w:tblLayout w:type="fixed"/>
        <w:tblCellMar>
          <w:left w:w="62" w:type="dxa"/>
          <w:right w:w="62" w:type="dxa"/>
        </w:tblCellMar>
        <w:tblLook w:val="0000"/>
      </w:tblPr>
      <w:tblGrid>
        <w:gridCol w:w="1063"/>
        <w:gridCol w:w="7970"/>
      </w:tblGrid>
      <w:tr w:rsidTr="00010661">
        <w:tblPrEx>
          <w:tblW w:w="0" w:type="auto"/>
          <w:tblLayout w:type="fixed"/>
          <w:tblCellMar>
            <w:left w:w="62" w:type="dxa"/>
            <w:right w:w="62" w:type="dxa"/>
          </w:tblCellMar>
          <w:tblLook w:val="0000"/>
        </w:tblPrEx>
        <w:trPr>
          <w:trHeight w:val="691"/>
        </w:trPr>
        <w:tc>
          <w:tcPr>
            <w:tcW w:w="1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661">
            <w:pPr>
              <w:pStyle w:val="Heading4"/>
              <w:rPr>
                <w:lang w:val="en-NZ"/>
              </w:rPr>
            </w:pPr>
            <w:r w:rsidRPr="00010661">
              <w:t>Release</w:t>
            </w:r>
          </w:p>
        </w:tc>
        <w:tc>
          <w:tcPr>
            <w:tcW w:w="7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661">
            <w:pPr>
              <w:pStyle w:val="Heading4"/>
              <w:rPr>
                <w:lang w:val="en-NZ"/>
              </w:rPr>
            </w:pPr>
            <w:r w:rsidRPr="00010661">
              <w:t>Comment</w:t>
            </w:r>
          </w:p>
        </w:tc>
      </w:tr>
      <w:tr w:rsidTr="00010661">
        <w:tblPrEx>
          <w:tblW w:w="0" w:type="auto"/>
          <w:tblLayout w:type="fixed"/>
          <w:tblCellMar>
            <w:left w:w="62" w:type="dxa"/>
            <w:right w:w="62" w:type="dxa"/>
          </w:tblCellMar>
          <w:tblLook w:val="0000"/>
        </w:tblPrEx>
        <w:trPr>
          <w:trHeight w:val="653"/>
        </w:trPr>
        <w:tc>
          <w:tcPr>
            <w:tcW w:w="1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661">
            <w:pPr>
              <w:pStyle w:val="BodyText"/>
              <w:rPr>
                <w:lang w:val="en-NZ"/>
              </w:rPr>
            </w:pPr>
            <w:r w:rsidRPr="00010661">
              <w:t>1</w:t>
            </w:r>
          </w:p>
        </w:tc>
        <w:tc>
          <w:tcPr>
            <w:tcW w:w="7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661" w:rsidP="00010661">
            <w:pPr>
              <w:pStyle w:val="BodyText"/>
            </w:pPr>
            <w:r w:rsidRPr="00010661">
              <w:t>This unit replaces RIIOGD204D Perform rig floor operations. Substantial amendments to performance criteria. Performance and knowledge evidence amended. Added mapping table.</w:t>
            </w:r>
          </w:p>
        </w:tc>
      </w:tr>
    </w:tbl>
    <w:p w:rsidR="00000000" w:rsidRPr="00010661" w:rsidP="00010661">
      <w:pPr>
        <w:pStyle w:val="BodyText"/>
      </w:pPr>
    </w:p>
    <w:p w:rsidR="00000000" w:rsidRPr="00010661" w:rsidP="00010661">
      <w:pPr>
        <w:pStyle w:val="AllowPageBreak"/>
      </w:pPr>
    </w:p>
    <w:p w:rsidR="00000000" w:rsidRPr="00010661" w:rsidP="00010661">
      <w:pPr>
        <w:pStyle w:val="Heading1"/>
      </w:pPr>
      <w:bookmarkStart w:id="2" w:name="O_849521"/>
      <w:bookmarkEnd w:id="2"/>
      <w:r w:rsidRPr="00010661">
        <w:t>Performance Evidence</w:t>
      </w:r>
    </w:p>
    <w:p w:rsidR="00000000" w:rsidRPr="00010661" w:rsidP="0049347A">
      <w:pPr>
        <w:pStyle w:val="BodyText"/>
      </w:pPr>
      <w:r w:rsidRPr="00010661">
        <w:t>Evidence is required to be collected that d</w:t>
      </w:r>
      <w:r w:rsidRPr="00010661">
        <w:t>emonstrates a candidate’s competency in this unit. Evidence must be relevant to the roles within this sector’s work operations and satisfy all of the requirements of the performance criteria of this unit and include evidence that the candidate:</w:t>
      </w:r>
    </w:p>
    <w:p w:rsidR="00000000" w:rsidRPr="00010661" w:rsidP="00010661">
      <w:pPr>
        <w:pStyle w:val="ListBullet"/>
      </w:pPr>
      <w:r w:rsidRPr="00010661">
        <w:t>competentl</w:t>
      </w:r>
      <w:r w:rsidRPr="00010661">
        <w:t xml:space="preserve">y completes all evidence activities with the ability to transfer and apply skills and knowledge to new situations and environments on more than one (1) occasion </w:t>
      </w:r>
    </w:p>
    <w:p w:rsidR="00000000" w:rsidRPr="00010661" w:rsidP="00010661">
      <w:pPr>
        <w:pStyle w:val="ListBullet"/>
      </w:pPr>
      <w:r w:rsidRPr="00010661">
        <w:t>locates and applies applicable legislation, documentation, policies and procedures</w:t>
      </w:r>
    </w:p>
    <w:p w:rsidR="00000000" w:rsidRPr="00010661" w:rsidP="00010661">
      <w:pPr>
        <w:pStyle w:val="ListBullet"/>
      </w:pPr>
      <w:r w:rsidRPr="00010661">
        <w:t>implements the requirements, procedures and techniques for the safe, effective and efficient completion of performing rig floor operations including:</w:t>
      </w:r>
    </w:p>
    <w:p w:rsidR="00000000" w:rsidRPr="00010661" w:rsidP="00010661">
      <w:pPr>
        <w:pStyle w:val="ListBullet2"/>
      </w:pPr>
      <w:r w:rsidRPr="00010661">
        <w:t>safe handling of tubulars and associated equipment</w:t>
      </w:r>
    </w:p>
    <w:p w:rsidR="00000000" w:rsidRPr="00010661" w:rsidP="00010661">
      <w:pPr>
        <w:pStyle w:val="ListBullet2"/>
      </w:pPr>
      <w:r w:rsidRPr="00010661">
        <w:t>preparation of the casing</w:t>
      </w:r>
    </w:p>
    <w:p w:rsidR="00000000" w:rsidRPr="00010661" w:rsidP="00010661">
      <w:pPr>
        <w:pStyle w:val="ListBullet2"/>
      </w:pPr>
      <w:r w:rsidRPr="00010661">
        <w:t>preparation and operation of</w:t>
      </w:r>
      <w:r w:rsidRPr="00010661">
        <w:t xml:space="preserve"> the drill string</w:t>
      </w:r>
    </w:p>
    <w:p w:rsidR="00000000" w:rsidRPr="00010661" w:rsidP="00010661">
      <w:pPr>
        <w:pStyle w:val="ListBullet2"/>
      </w:pPr>
      <w:r w:rsidRPr="00010661">
        <w:t>preparation and position of the BOP over wellhead</w:t>
      </w:r>
    </w:p>
    <w:p w:rsidR="00000000" w:rsidRPr="00010661" w:rsidP="00010661">
      <w:pPr>
        <w:pStyle w:val="ListBullet2"/>
      </w:pPr>
      <w:r w:rsidRPr="00010661">
        <w:t>preparation of well control and mitigation equipment</w:t>
      </w:r>
    </w:p>
    <w:p w:rsidR="00000000" w:rsidRPr="00010661" w:rsidP="00010661">
      <w:pPr>
        <w:pStyle w:val="ListBullet2"/>
      </w:pPr>
      <w:r w:rsidRPr="00010661">
        <w:t xml:space="preserve">using the correct sequence and operation of equipment </w:t>
      </w:r>
    </w:p>
    <w:p w:rsidR="00000000" w:rsidRPr="00010661" w:rsidP="00010661">
      <w:pPr>
        <w:pStyle w:val="ListBullet2"/>
      </w:pPr>
      <w:r w:rsidRPr="00010661">
        <w:t>reading, interpreting and recording in writing all measurements and data require</w:t>
      </w:r>
      <w:r w:rsidRPr="00010661">
        <w:t xml:space="preserve">d for rig operations </w:t>
      </w:r>
    </w:p>
    <w:p w:rsidR="00000000" w:rsidRPr="00010661" w:rsidP="00010661">
      <w:pPr>
        <w:pStyle w:val="ListBullet2"/>
      </w:pPr>
      <w:r w:rsidRPr="00010661">
        <w:t>identifying the patterns and positions of the sheaves cable and its hanging points</w:t>
      </w:r>
    </w:p>
    <w:p w:rsidR="00000000" w:rsidRPr="00010661" w:rsidP="00010661">
      <w:pPr>
        <w:pStyle w:val="ListBullet"/>
      </w:pPr>
      <w:r w:rsidRPr="00010661">
        <w:t>works effectively with others to undertake and complete the performance of rig floor operations that meets all the required outcomes including:</w:t>
      </w:r>
    </w:p>
    <w:p w:rsidR="00000000" w:rsidRPr="00010661" w:rsidP="00010661">
      <w:pPr>
        <w:pStyle w:val="ListBullet2"/>
      </w:pPr>
      <w:r w:rsidRPr="00010661">
        <w:t>organ</w:t>
      </w:r>
      <w:r w:rsidRPr="00010661">
        <w:t>ising work activities to meet all task requirements</w:t>
      </w:r>
    </w:p>
    <w:p w:rsidR="00000000" w:rsidRPr="00010661" w:rsidP="00010661">
      <w:pPr>
        <w:pStyle w:val="ListBullet2"/>
      </w:pPr>
      <w:r w:rsidRPr="00010661">
        <w:t>communicating clearly and concisely with others to receive and clarify work instructions</w:t>
      </w:r>
    </w:p>
    <w:p w:rsidR="00000000" w:rsidRPr="00010661" w:rsidP="00010661">
      <w:pPr>
        <w:pStyle w:val="ListBullet"/>
      </w:pPr>
      <w:r w:rsidRPr="00010661">
        <w:t>demonstrates completion of performing rig floor operations that safely, effectively and efficiently meets all of t</w:t>
      </w:r>
      <w:r w:rsidRPr="00010661">
        <w:t>he required outcomes on more than one (1) occasion including:</w:t>
      </w:r>
    </w:p>
    <w:p w:rsidR="00000000" w:rsidRPr="00010661" w:rsidP="00010661">
      <w:pPr>
        <w:pStyle w:val="ListBullet2"/>
      </w:pPr>
      <w:r w:rsidRPr="00010661">
        <w:t>assists in preparing, running and cementing of casing</w:t>
      </w:r>
    </w:p>
    <w:p w:rsidR="00000000" w:rsidRPr="00010661" w:rsidP="00010661">
      <w:pPr>
        <w:pStyle w:val="ListBullet2"/>
      </w:pPr>
      <w:r w:rsidRPr="00010661">
        <w:t>prepares and operates pipe handling equipment</w:t>
      </w:r>
    </w:p>
    <w:p w:rsidR="00000000" w:rsidRPr="00010661" w:rsidP="00010661">
      <w:pPr>
        <w:pStyle w:val="AllowPageBreak"/>
      </w:pPr>
    </w:p>
    <w:p w:rsidR="00000000" w:rsidRPr="00010661" w:rsidP="00010661">
      <w:pPr>
        <w:pStyle w:val="Heading1"/>
      </w:pPr>
      <w:bookmarkStart w:id="3" w:name="O_849520"/>
      <w:bookmarkEnd w:id="3"/>
      <w:r w:rsidRPr="00010661">
        <w:t>Knowledge Evidence</w:t>
      </w:r>
    </w:p>
    <w:p w:rsidR="00000000" w:rsidRPr="00010661" w:rsidP="0049347A">
      <w:pPr>
        <w:pStyle w:val="BodyText"/>
      </w:pPr>
      <w:r w:rsidRPr="00010661">
        <w:t>The candidate must demonstrate knowledge in of the following when performing rig floor operations:</w:t>
      </w:r>
    </w:p>
    <w:p w:rsidR="00000000" w:rsidRPr="00010661" w:rsidP="00010661">
      <w:pPr>
        <w:pStyle w:val="ListBullet"/>
      </w:pPr>
      <w:r w:rsidRPr="00010661">
        <w:t>organisation and site requirements and procedures for:</w:t>
      </w:r>
    </w:p>
    <w:p w:rsidR="00000000" w:rsidRPr="00010661" w:rsidP="00010661">
      <w:pPr>
        <w:pStyle w:val="ListBullet2"/>
      </w:pPr>
      <w:r w:rsidRPr="00010661">
        <w:t>rig maintenance, safety and emergency procedures</w:t>
      </w:r>
    </w:p>
    <w:p w:rsidR="00000000" w:rsidRPr="00010661" w:rsidP="00010661">
      <w:pPr>
        <w:pStyle w:val="ListBullet2"/>
      </w:pPr>
      <w:r w:rsidRPr="00010661">
        <w:t>company and statutory safety guidelines, procedures</w:t>
      </w:r>
      <w:r w:rsidRPr="00010661">
        <w:t xml:space="preserve"> and practices</w:t>
      </w:r>
    </w:p>
    <w:p w:rsidR="00000000" w:rsidRPr="00010661" w:rsidP="00010661">
      <w:pPr>
        <w:pStyle w:val="ListBullet2"/>
      </w:pPr>
      <w:r w:rsidRPr="00010661">
        <w:t>equipment safe operating procedures</w:t>
      </w:r>
    </w:p>
    <w:p w:rsidR="00000000" w:rsidRPr="00010661" w:rsidP="00010661">
      <w:pPr>
        <w:pStyle w:val="ListBullet2"/>
      </w:pPr>
      <w:r w:rsidRPr="00010661">
        <w:t>equipment condition and reporting mechanisms</w:t>
      </w:r>
    </w:p>
    <w:p w:rsidR="00000000" w:rsidRPr="00010661" w:rsidP="00010661">
      <w:pPr>
        <w:pStyle w:val="ListBullet"/>
      </w:pPr>
      <w:r w:rsidRPr="00010661">
        <w:t>the function of the triangular mark stamped just above the casing</w:t>
      </w:r>
    </w:p>
    <w:p w:rsidR="00000000" w:rsidRPr="00010661" w:rsidP="00010661">
      <w:pPr>
        <w:pStyle w:val="ListBullet"/>
      </w:pPr>
      <w:r w:rsidRPr="00010661">
        <w:t>what steps are taken if the well kicks whilst running casing</w:t>
      </w:r>
    </w:p>
    <w:p w:rsidR="00000000" w:rsidRPr="00010661" w:rsidP="00010661">
      <w:pPr>
        <w:pStyle w:val="ListBullet"/>
      </w:pPr>
      <w:r w:rsidRPr="00010661">
        <w:t>lubrication techniques and their</w:t>
      </w:r>
      <w:r w:rsidRPr="00010661">
        <w:t xml:space="preserve"> application</w:t>
      </w:r>
    </w:p>
    <w:p w:rsidR="00000000" w:rsidRPr="00010661" w:rsidP="00010661">
      <w:pPr>
        <w:pStyle w:val="ListBullet"/>
      </w:pPr>
      <w:r w:rsidRPr="00010661">
        <w:t>normal drilling operations</w:t>
      </w:r>
    </w:p>
    <w:p w:rsidR="00000000" w:rsidRPr="00010661" w:rsidP="00010661">
      <w:pPr>
        <w:pStyle w:val="ListBullet"/>
      </w:pPr>
      <w:r w:rsidRPr="00010661">
        <w:t>non-routine drilling operations</w:t>
      </w:r>
    </w:p>
    <w:p w:rsidR="00000000" w:rsidRPr="00010661" w:rsidP="00010661">
      <w:pPr>
        <w:pStyle w:val="ListBullet"/>
      </w:pPr>
      <w:r w:rsidRPr="00010661">
        <w:t>conversion between metric and imperial</w:t>
      </w:r>
    </w:p>
    <w:p w:rsidR="00000000" w:rsidRPr="00010661" w:rsidP="00010661">
      <w:pPr>
        <w:pStyle w:val="ListBullet"/>
      </w:pPr>
      <w:r w:rsidRPr="00010661">
        <w:t>a range of numerical calculations and measurements including:</w:t>
      </w:r>
    </w:p>
    <w:p w:rsidR="00000000" w:rsidRPr="00010661" w:rsidP="00010661">
      <w:pPr>
        <w:pStyle w:val="ListBullet2"/>
      </w:pPr>
      <w:r w:rsidRPr="00010661">
        <w:t>length</w:t>
      </w:r>
    </w:p>
    <w:p w:rsidR="00000000" w:rsidRPr="00010661" w:rsidP="00010661">
      <w:pPr>
        <w:pStyle w:val="ListBullet2"/>
      </w:pPr>
      <w:r w:rsidRPr="00010661">
        <w:t>quantities</w:t>
      </w:r>
    </w:p>
    <w:p w:rsidR="00000000" w:rsidRPr="00010661" w:rsidP="00010661">
      <w:pPr>
        <w:pStyle w:val="ListBullet2"/>
      </w:pPr>
      <w:r w:rsidRPr="00010661">
        <w:t>volumes</w:t>
      </w:r>
    </w:p>
    <w:p w:rsidR="00000000" w:rsidRPr="00010661" w:rsidP="00010661">
      <w:pPr>
        <w:pStyle w:val="ListBullet2"/>
      </w:pPr>
      <w:r w:rsidRPr="00010661">
        <w:t>conversion rates</w:t>
      </w:r>
    </w:p>
    <w:p w:rsidR="00000000" w:rsidRPr="00010661" w:rsidP="00010661">
      <w:pPr>
        <w:pStyle w:val="AllowPageBreak"/>
      </w:pPr>
    </w:p>
    <w:p w:rsidR="00000000" w:rsidRPr="00010661" w:rsidP="00010661">
      <w:pPr>
        <w:pStyle w:val="Heading1"/>
      </w:pPr>
      <w:bookmarkStart w:id="4" w:name="O_849519"/>
      <w:bookmarkEnd w:id="4"/>
      <w:r w:rsidRPr="00010661">
        <w:t>Assessment Conditions</w:t>
      </w:r>
    </w:p>
    <w:p w:rsidR="00000000" w:rsidRPr="00010661" w:rsidP="00010661">
      <w:pPr>
        <w:pStyle w:val="ListBullet"/>
      </w:pPr>
      <w:r w:rsidRPr="00010661">
        <w:t xml:space="preserve">Assessors must satisfy the Standards for Registered Training Organisations (RTOs) 2015/AQTF mandatory competency requirements for assessors; and industry regulations for certification and licensing; and, </w:t>
      </w:r>
    </w:p>
    <w:p w:rsidR="00000000" w:rsidRPr="00010661" w:rsidP="00010661">
      <w:pPr>
        <w:pStyle w:val="ListBullet"/>
      </w:pPr>
      <w:r w:rsidRPr="00010661">
        <w:t xml:space="preserve">this unit must be assessed in the context of this </w:t>
      </w:r>
      <w:r w:rsidRPr="00010661">
        <w:t>sector’s work environment; and,</w:t>
      </w:r>
    </w:p>
    <w:p w:rsidR="00000000" w:rsidRPr="00010661" w:rsidP="00010661">
      <w:pPr>
        <w:pStyle w:val="ListBullet"/>
      </w:pPr>
      <w:r w:rsidRPr="00010661">
        <w:t>this unit must be assessed in compliance with relevant legislation/regulation and using policies, procedures, processes and operational manuals directly related to the industry sector for which it is being assessed; and,</w:t>
      </w:r>
    </w:p>
    <w:p w:rsidR="00000000" w:rsidRPr="00010661" w:rsidP="00010661">
      <w:pPr>
        <w:pStyle w:val="ListBullet"/>
      </w:pPr>
      <w:r w:rsidRPr="00010661">
        <w:t>ass</w:t>
      </w:r>
      <w:r w:rsidRPr="00010661">
        <w:t>essment may be conducted in conjunction with the assessment of other units of competency; and,</w:t>
      </w:r>
    </w:p>
    <w:p w:rsidR="00000000" w:rsidRPr="00010661" w:rsidP="00010661">
      <w:pPr>
        <w:pStyle w:val="ListBullet"/>
      </w:pPr>
      <w:r w:rsidRPr="00010661">
        <w:t>assessment must confirm consistent performance can be applied in a range of relevant workplace circumstances; and,</w:t>
      </w:r>
    </w:p>
    <w:p w:rsidR="00000000" w:rsidRPr="00010661" w:rsidP="00010661">
      <w:pPr>
        <w:pStyle w:val="ListBullet"/>
      </w:pPr>
      <w:r w:rsidRPr="00010661">
        <w:t>assessors must demonstrate the performance evi</w:t>
      </w:r>
      <w:r w:rsidRPr="00010661">
        <w:t>dence, and knowledge evidence as outlined in this unit of competency, and through the minimum years of current* work experience specified below in an industry sector relevant to the outcomes of the unit; or,</w:t>
      </w:r>
    </w:p>
    <w:p w:rsidR="00000000" w:rsidRPr="00010661" w:rsidP="00010661">
      <w:pPr>
        <w:pStyle w:val="ListBullet"/>
      </w:pPr>
      <w:r w:rsidRPr="00010661">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010661">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010661">
        <w:t>including time spent in roles related to the unit being assessed; and,</w:t>
      </w:r>
    </w:p>
    <w:p w:rsidR="00000000" w:rsidRPr="00010661" w:rsidP="00010661">
      <w:pPr>
        <w:pStyle w:val="ListBullet"/>
      </w:pPr>
      <w:r w:rsidRPr="00010661">
        <w:t>assessor and industry subject matter expert requirements differ depending on the Australian Qualifications Framework Level (AQF) of the qualification being assessed and/or industry sect</w:t>
      </w:r>
      <w:r w:rsidRPr="00010661">
        <w:t>or as follows:</w:t>
      </w:r>
    </w:p>
    <w:tbl>
      <w:tblPr>
        <w:tblW w:w="8896" w:type="dxa"/>
        <w:tblInd w:w="360" w:type="dxa"/>
        <w:tblLayout w:type="fixed"/>
        <w:tblCellMar>
          <w:left w:w="62" w:type="dxa"/>
          <w:right w:w="62" w:type="dxa"/>
        </w:tblCellMar>
        <w:tblLook w:val="0000"/>
      </w:tblPr>
      <w:tblGrid>
        <w:gridCol w:w="4218"/>
        <w:gridCol w:w="1559"/>
        <w:gridCol w:w="3119"/>
      </w:tblGrid>
      <w:tr w:rsidTr="000106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Heading4"/>
              <w:rPr>
                <w:lang w:val="en-NZ"/>
              </w:rPr>
            </w:pPr>
            <w:r w:rsidRPr="0001066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Heading4"/>
              <w:rPr>
                <w:lang w:val="en-NZ"/>
              </w:rPr>
            </w:pPr>
            <w:r w:rsidRPr="0001066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Heading4"/>
              <w:rPr>
                <w:lang w:val="en-NZ"/>
              </w:rPr>
            </w:pPr>
            <w:r w:rsidRPr="00010661">
              <w:t>Required assessor or industry subject matter expert experience</w:t>
            </w:r>
          </w:p>
        </w:tc>
      </w:tr>
      <w:tr w:rsidTr="0001066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1 Year</w:t>
            </w:r>
          </w:p>
        </w:tc>
      </w:tr>
      <w:tr w:rsidTr="0001066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2 Years</w:t>
            </w:r>
          </w:p>
        </w:tc>
      </w:tr>
      <w:tr w:rsidTr="000106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3 Years</w:t>
            </w:r>
          </w:p>
        </w:tc>
      </w:tr>
      <w:tr w:rsidTr="000106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5 Years</w:t>
            </w:r>
          </w:p>
        </w:tc>
      </w:tr>
      <w:tr w:rsidTr="000106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0661">
            <w:pPr>
              <w:pStyle w:val="BodyText"/>
              <w:rPr>
                <w:lang w:val="en-NZ"/>
              </w:rPr>
            </w:pPr>
            <w:r w:rsidRPr="0001066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0661" w:rsidP="00010661">
            <w:pPr>
              <w:pStyle w:val="BodyText"/>
            </w:pPr>
            <w:r w:rsidRPr="00010661">
              <w:t>Where this unit is being assessed outside of the Resources and Infrastructure Sectors, assessor and/or industry subject matter expert experience should be in-line with industry standards for the sector in which it is being assessed and, where no industry s</w:t>
            </w:r>
            <w:r w:rsidRPr="00010661">
              <w:t>tandard is specified, should comply with any relevant regulation.</w:t>
            </w:r>
          </w:p>
        </w:tc>
      </w:tr>
    </w:tbl>
    <w:p w:rsidR="00000000" w:rsidRPr="00010661" w:rsidP="0049347A">
      <w:pPr>
        <w:pStyle w:val="BodyText"/>
      </w:pPr>
      <w:r w:rsidRPr="00010661">
        <w:t>*Assessors can demonstrate current work experience through employment within industry in a role relevant to the outcomes of the unit; or, for external assessors this can be demonstrated th</w:t>
      </w:r>
      <w:r w:rsidRPr="00010661">
        <w:t>rough exposure to industry by conducting frequent site assessments across various locations.</w:t>
      </w:r>
    </w:p>
    <w:p w:rsidR="00000000" w:rsidRPr="00010661" w:rsidP="0049347A">
      <w:pPr>
        <w:pStyle w:val="BodyText"/>
      </w:pPr>
      <w:r w:rsidRPr="00010661">
        <w:t>**Where a unit is being delivered outside of a qualification the first numeric character in the unit code should be considered to indicate the AQF level.</w:t>
      </w:r>
    </w:p>
    <w:p w:rsidR="00000000" w:rsidRPr="00010661" w:rsidP="00010661">
      <w:pPr>
        <w:pStyle w:val="Heading1"/>
      </w:pPr>
      <w:bookmarkStart w:id="5" w:name="O_849517"/>
      <w:bookmarkEnd w:id="5"/>
      <w:r w:rsidRPr="00010661">
        <w:t>Links</w:t>
      </w:r>
    </w:p>
    <w:p w:rsidR="00000000" w:rsidRPr="00010661" w:rsidP="0049347A">
      <w:pPr>
        <w:pStyle w:val="BodyText"/>
      </w:pPr>
      <w:r w:rsidRPr="0001066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5600D">
        <w:rPr>
          <w:rStyle w:val="Hyperlink"/>
        </w:rPr>
        <w:t>https://vetnet.gov.au/Pages/TrainingDocs.aspx?q=88a61002-9a21-4386-aaf8-69c76e675272</w:t>
      </w:r>
      <w:r>
        <w:fldChar w:fldCharType="end"/>
      </w:r>
    </w:p>
    <w:p w:rsidR="00000000" w:rsidRPr="00010661" w:rsidP="00010661"/>
    <w:sectPr w:rsidSect="000106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61" w:rsidRPr="0049347A" w:rsidP="00493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7A" w:rsidP="00010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347A" w:rsidP="0001066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9347A" w:rsidP="000106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661" w:rsidRPr="0049347A" w:rsidP="004934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7A" w:rsidRPr="002D2AF8" w:rsidP="00010661">
    <w:pPr>
      <w:pStyle w:val="Header"/>
      <w:framePr w:wrap="around"/>
    </w:pPr>
    <w:r>
      <w:fldChar w:fldCharType="begin"/>
    </w:r>
    <w:r>
      <w:instrText xml:space="preserve"> TITLE   \* MERGEFORMAT </w:instrText>
    </w:r>
    <w:r>
      <w:fldChar w:fldCharType="separate"/>
    </w:r>
    <w:r>
      <w:t>Assessment Requirements for RIIOGD204E Perform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49347A" w:rsidP="000106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1E8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EE1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4C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6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661"/>
    <w:pPr>
      <w:spacing w:before="360" w:after="60"/>
      <w:outlineLvl w:val="0"/>
    </w:pPr>
    <w:rPr>
      <w:sz w:val="32"/>
    </w:rPr>
  </w:style>
  <w:style w:type="paragraph" w:styleId="Heading2">
    <w:name w:val="heading 2"/>
    <w:basedOn w:val="HeadingBase"/>
    <w:next w:val="BodyText"/>
    <w:link w:val="Heading2Char"/>
    <w:qFormat/>
    <w:rsid w:val="00010661"/>
    <w:pPr>
      <w:keepLines/>
      <w:spacing w:before="240" w:after="120"/>
      <w:outlineLvl w:val="1"/>
    </w:pPr>
    <w:rPr>
      <w:sz w:val="28"/>
      <w:szCs w:val="40"/>
    </w:rPr>
  </w:style>
  <w:style w:type="paragraph" w:styleId="Heading3">
    <w:name w:val="heading 3"/>
    <w:basedOn w:val="HeadingBase"/>
    <w:next w:val="BodyText"/>
    <w:link w:val="Heading3Char"/>
    <w:qFormat/>
    <w:rsid w:val="00010661"/>
    <w:pPr>
      <w:spacing w:before="180" w:after="120"/>
      <w:outlineLvl w:val="2"/>
    </w:pPr>
    <w:rPr>
      <w:spacing w:val="-10"/>
      <w:kern w:val="32"/>
    </w:rPr>
  </w:style>
  <w:style w:type="paragraph" w:styleId="Heading4">
    <w:name w:val="heading 4"/>
    <w:basedOn w:val="HeadingBase"/>
    <w:next w:val="BodyText"/>
    <w:link w:val="Heading4Char"/>
    <w:qFormat/>
    <w:rsid w:val="00010661"/>
    <w:pPr>
      <w:spacing w:before="160" w:after="120"/>
      <w:outlineLvl w:val="3"/>
    </w:pPr>
    <w:rPr>
      <w:sz w:val="22"/>
    </w:rPr>
  </w:style>
  <w:style w:type="paragraph" w:styleId="Heading5">
    <w:name w:val="heading 5"/>
    <w:basedOn w:val="HeadingBase"/>
    <w:next w:val="Normal"/>
    <w:link w:val="Heading5Char"/>
    <w:qFormat/>
    <w:rsid w:val="00010661"/>
    <w:pPr>
      <w:spacing w:before="80"/>
      <w:outlineLvl w:val="4"/>
    </w:pPr>
    <w:rPr>
      <w:color w:val="918585"/>
      <w:sz w:val="20"/>
    </w:rPr>
  </w:style>
  <w:style w:type="paragraph" w:styleId="Heading6">
    <w:name w:val="heading 6"/>
    <w:basedOn w:val="HeadingBase"/>
    <w:next w:val="Normal"/>
    <w:link w:val="Heading6Char"/>
    <w:qFormat/>
    <w:rsid w:val="00010661"/>
    <w:pPr>
      <w:spacing w:before="60"/>
      <w:outlineLvl w:val="5"/>
    </w:pPr>
    <w:rPr>
      <w:color w:val="918585"/>
      <w:sz w:val="20"/>
    </w:rPr>
  </w:style>
  <w:style w:type="paragraph" w:styleId="Heading7">
    <w:name w:val="heading 7"/>
    <w:basedOn w:val="Normal"/>
    <w:next w:val="Normal"/>
    <w:link w:val="Heading7Char"/>
    <w:qFormat/>
    <w:rsid w:val="00010661"/>
    <w:pPr>
      <w:ind w:left="720"/>
      <w:outlineLvl w:val="6"/>
    </w:pPr>
    <w:rPr>
      <w:i/>
    </w:rPr>
  </w:style>
  <w:style w:type="paragraph" w:styleId="Heading8">
    <w:name w:val="heading 8"/>
    <w:basedOn w:val="Normal"/>
    <w:next w:val="Normal"/>
    <w:link w:val="Heading8Char"/>
    <w:qFormat/>
    <w:rsid w:val="00010661"/>
    <w:pPr>
      <w:ind w:left="720"/>
      <w:outlineLvl w:val="7"/>
    </w:pPr>
    <w:rPr>
      <w:i/>
    </w:rPr>
  </w:style>
  <w:style w:type="paragraph" w:styleId="Heading9">
    <w:name w:val="heading 9"/>
    <w:basedOn w:val="Normal"/>
    <w:next w:val="Normal"/>
    <w:link w:val="Heading9Char"/>
    <w:qFormat/>
    <w:rsid w:val="00010661"/>
    <w:pPr>
      <w:ind w:left="720"/>
      <w:outlineLvl w:val="8"/>
    </w:pPr>
    <w:rPr>
      <w:i/>
    </w:rPr>
  </w:style>
  <w:style w:type="character" w:default="1" w:styleId="DefaultParagraphFont">
    <w:name w:val="Default Paragraph Font"/>
    <w:uiPriority w:val="1"/>
    <w:unhideWhenUsed/>
    <w:rsid w:val="00010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661"/>
  </w:style>
  <w:style w:type="character" w:customStyle="1" w:styleId="Heading1Char">
    <w:name w:val="Heading 1 Char"/>
    <w:basedOn w:val="DefaultParagraphFont"/>
    <w:link w:val="Heading1"/>
    <w:rsid w:val="0001066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10661"/>
    <w:rPr>
      <w:rFonts w:ascii="Times New Roman" w:eastAsia="Times New Roman" w:hAnsi="Times New Roman" w:cs="Times New Roman"/>
      <w:b/>
      <w:szCs w:val="20"/>
      <w:lang w:eastAsia="en-US"/>
    </w:rPr>
  </w:style>
  <w:style w:type="paragraph" w:styleId="BodyText">
    <w:name w:val="Body Text"/>
    <w:basedOn w:val="Normal"/>
    <w:link w:val="BodyTextChar"/>
    <w:rsid w:val="000106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661"/>
    <w:rPr>
      <w:rFonts w:ascii="Times New Roman" w:eastAsia="Times New Roman" w:hAnsi="Times New Roman" w:cs="Times New Roman"/>
      <w:sz w:val="24"/>
      <w:lang w:eastAsia="en-US"/>
    </w:rPr>
  </w:style>
  <w:style w:type="paragraph" w:styleId="ListBullet">
    <w:name w:val="List Bullet"/>
    <w:basedOn w:val="List"/>
    <w:rsid w:val="00010661"/>
    <w:pPr>
      <w:numPr>
        <w:numId w:val="12"/>
      </w:numPr>
      <w:tabs>
        <w:tab w:val="clear" w:pos="340"/>
      </w:tabs>
      <w:spacing w:before="40" w:after="40"/>
    </w:pPr>
  </w:style>
  <w:style w:type="paragraph" w:styleId="ListBullet2">
    <w:name w:val="List Bullet 2"/>
    <w:basedOn w:val="List2"/>
    <w:rsid w:val="00010661"/>
    <w:pPr>
      <w:numPr>
        <w:numId w:val="13"/>
      </w:numPr>
      <w:tabs>
        <w:tab w:val="clear" w:pos="680"/>
      </w:tabs>
    </w:pPr>
  </w:style>
  <w:style w:type="paragraph" w:customStyle="1" w:styleId="SuperHeading">
    <w:name w:val="SuperHeading"/>
    <w:basedOn w:val="Normal"/>
    <w:rsid w:val="00010661"/>
    <w:pPr>
      <w:spacing w:before="240" w:after="120"/>
      <w:outlineLvl w:val="0"/>
    </w:pPr>
    <w:rPr>
      <w:rFonts w:ascii="Times New Roman" w:hAnsi="Times New Roman"/>
      <w:b/>
      <w:sz w:val="32"/>
    </w:rPr>
  </w:style>
  <w:style w:type="paragraph" w:customStyle="1" w:styleId="AllowPageBreak">
    <w:name w:val="AllowPageBreak"/>
    <w:rsid w:val="000106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66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10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6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6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661"/>
    <w:rPr>
      <w:rFonts w:ascii="Courier New" w:eastAsia="Times New Roman" w:hAnsi="Courier New" w:cs="Times New Roman"/>
      <w:i/>
      <w:szCs w:val="20"/>
      <w:lang w:eastAsia="en-US"/>
    </w:rPr>
  </w:style>
  <w:style w:type="paragraph" w:customStyle="1" w:styleId="HeadingBase">
    <w:name w:val="Heading Base"/>
    <w:rsid w:val="00010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661"/>
    <w:pPr>
      <w:tabs>
        <w:tab w:val="right" w:leader="dot" w:pos="9072"/>
      </w:tabs>
      <w:ind w:left="567"/>
    </w:pPr>
    <w:rPr>
      <w:szCs w:val="22"/>
    </w:rPr>
  </w:style>
  <w:style w:type="paragraph" w:customStyle="1" w:styleId="TOCBase">
    <w:name w:val="TOC Base"/>
    <w:rsid w:val="00010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661"/>
    <w:pPr>
      <w:tabs>
        <w:tab w:val="right" w:leader="dot" w:pos="9072"/>
      </w:tabs>
      <w:spacing w:before="40" w:after="40"/>
      <w:ind w:left="284"/>
    </w:pPr>
    <w:rPr>
      <w:rFonts w:ascii="Times New Roman" w:hAnsi="Times New Roman"/>
    </w:rPr>
  </w:style>
  <w:style w:type="paragraph" w:styleId="TOC1">
    <w:name w:val="toc 1"/>
    <w:basedOn w:val="TOCBase"/>
    <w:next w:val="Normal"/>
    <w:rsid w:val="000106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661"/>
    <w:rPr>
      <w:rFonts w:ascii="Times New Roman" w:eastAsia="Times New Roman" w:hAnsi="Times New Roman" w:cs="Times New Roman"/>
      <w:sz w:val="16"/>
      <w:lang w:eastAsia="en-US"/>
    </w:rPr>
  </w:style>
  <w:style w:type="paragraph" w:styleId="Title">
    <w:name w:val="Title"/>
    <w:basedOn w:val="HeadingBase"/>
    <w:link w:val="TitleChar"/>
    <w:qFormat/>
    <w:rsid w:val="00010661"/>
    <w:pPr>
      <w:spacing w:before="5040"/>
      <w:jc w:val="center"/>
    </w:pPr>
    <w:rPr>
      <w:sz w:val="48"/>
      <w:szCs w:val="72"/>
      <w:lang w:val="en-US"/>
    </w:rPr>
  </w:style>
  <w:style w:type="character" w:customStyle="1" w:styleId="TitleChar">
    <w:name w:val="Title Char"/>
    <w:basedOn w:val="DefaultParagraphFont"/>
    <w:link w:val="Title"/>
    <w:rsid w:val="00010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661"/>
    <w:pPr>
      <w:tabs>
        <w:tab w:val="left" w:pos="3600"/>
        <w:tab w:val="left" w:pos="3958"/>
      </w:tabs>
    </w:pPr>
  </w:style>
  <w:style w:type="paragraph" w:styleId="List">
    <w:name w:val="List"/>
    <w:basedOn w:val="BodyText"/>
    <w:next w:val="BodyText"/>
    <w:rsid w:val="00010661"/>
    <w:pPr>
      <w:tabs>
        <w:tab w:val="left" w:pos="340"/>
      </w:tabs>
      <w:spacing w:before="60" w:after="60"/>
      <w:ind w:left="340" w:hanging="340"/>
    </w:pPr>
  </w:style>
  <w:style w:type="paragraph" w:customStyle="1" w:styleId="Note">
    <w:name w:val="Note"/>
    <w:basedOn w:val="BodyText"/>
    <w:rsid w:val="000106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0661"/>
    <w:rPr>
      <w:b/>
      <w:spacing w:val="0"/>
    </w:rPr>
  </w:style>
  <w:style w:type="paragraph" w:customStyle="1" w:styleId="SuperTitle">
    <w:name w:val="SuperTitle"/>
    <w:basedOn w:val="Title"/>
    <w:rsid w:val="00010661"/>
    <w:pPr>
      <w:framePr w:wrap="auto" w:hAnchor="text" w:y="6049"/>
    </w:pPr>
    <w:rPr>
      <w:color w:val="000000"/>
      <w:sz w:val="40"/>
    </w:rPr>
  </w:style>
  <w:style w:type="paragraph" w:customStyle="1" w:styleId="TOCTitle">
    <w:name w:val="TOCTitle"/>
    <w:basedOn w:val="Heading1"/>
    <w:rsid w:val="00010661"/>
    <w:pPr>
      <w:spacing w:after="240"/>
      <w:jc w:val="center"/>
      <w:outlineLvl w:val="9"/>
    </w:pPr>
    <w:rPr>
      <w:caps/>
    </w:rPr>
  </w:style>
  <w:style w:type="paragraph" w:customStyle="1" w:styleId="Version">
    <w:name w:val="Version"/>
    <w:rsid w:val="000106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661"/>
    <w:pPr>
      <w:keepNext w:val="0"/>
      <w:tabs>
        <w:tab w:val="right" w:pos="4176"/>
      </w:tabs>
      <w:ind w:left="198" w:hanging="198"/>
    </w:pPr>
    <w:rPr>
      <w:rFonts w:ascii="Garamond" w:hAnsi="Garamond"/>
    </w:rPr>
  </w:style>
  <w:style w:type="paragraph" w:styleId="IndexHeading">
    <w:name w:val="index heading"/>
    <w:basedOn w:val="Normal"/>
    <w:next w:val="Index1"/>
    <w:semiHidden/>
    <w:rsid w:val="00010661"/>
    <w:pPr>
      <w:spacing w:before="120" w:after="120"/>
    </w:pPr>
    <w:rPr>
      <w:rFonts w:ascii="Arial" w:hAnsi="Arial"/>
      <w:b/>
      <w:color w:val="918585"/>
      <w:sz w:val="24"/>
    </w:rPr>
  </w:style>
  <w:style w:type="paragraph" w:styleId="Header">
    <w:name w:val="header"/>
    <w:basedOn w:val="Normal"/>
    <w:link w:val="HeaderChar"/>
    <w:rsid w:val="00010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661"/>
    <w:rPr>
      <w:rFonts w:ascii="Times New Roman" w:eastAsia="Times New Roman" w:hAnsi="Times New Roman" w:cs="Times New Roman"/>
      <w:sz w:val="16"/>
      <w:szCs w:val="20"/>
      <w:lang w:val="en-GB" w:eastAsia="en-US"/>
    </w:rPr>
  </w:style>
  <w:style w:type="paragraph" w:customStyle="1" w:styleId="Chapter">
    <w:name w:val="Chapter"/>
    <w:basedOn w:val="Normal"/>
    <w:rsid w:val="00010661"/>
    <w:pPr>
      <w:spacing w:before="240"/>
    </w:pPr>
    <w:rPr>
      <w:rFonts w:ascii="Times New Roman" w:hAnsi="Times New Roman"/>
      <w:smallCaps/>
      <w:spacing w:val="80"/>
      <w:sz w:val="28"/>
    </w:rPr>
  </w:style>
  <w:style w:type="paragraph" w:customStyle="1" w:styleId="InChapter">
    <w:name w:val="InChapter"/>
    <w:basedOn w:val="Heading3"/>
    <w:rsid w:val="00010661"/>
    <w:pPr>
      <w:spacing w:after="240"/>
      <w:outlineLvl w:val="9"/>
    </w:pPr>
    <w:rPr>
      <w:noProof/>
    </w:rPr>
  </w:style>
  <w:style w:type="paragraph" w:styleId="Index2">
    <w:name w:val="index 2"/>
    <w:basedOn w:val="Normal"/>
    <w:next w:val="Normal"/>
    <w:semiHidden/>
    <w:rsid w:val="00010661"/>
    <w:pPr>
      <w:tabs>
        <w:tab w:val="right" w:pos="4176"/>
      </w:tabs>
      <w:ind w:left="568" w:hanging="284"/>
    </w:pPr>
    <w:rPr>
      <w:rFonts w:ascii="Garamond" w:hAnsi="Garamond"/>
    </w:rPr>
  </w:style>
  <w:style w:type="paragraph" w:customStyle="1" w:styleId="Byline">
    <w:name w:val="Byline"/>
    <w:rsid w:val="00010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661"/>
    <w:pPr>
      <w:tabs>
        <w:tab w:val="clear" w:pos="3600"/>
        <w:tab w:val="clear" w:pos="3958"/>
      </w:tabs>
      <w:jc w:val="right"/>
    </w:pPr>
  </w:style>
  <w:style w:type="character" w:styleId="Emphasis">
    <w:name w:val="Emphasis"/>
    <w:basedOn w:val="DefaultParagraphFont"/>
    <w:qFormat/>
    <w:rsid w:val="00010661"/>
    <w:rPr>
      <w:i/>
    </w:rPr>
  </w:style>
  <w:style w:type="paragraph" w:styleId="Caption">
    <w:name w:val="caption"/>
    <w:basedOn w:val="BodyText"/>
    <w:next w:val="Normal"/>
    <w:qFormat/>
    <w:rsid w:val="00010661"/>
    <w:pPr>
      <w:framePr w:w="2268" w:hSpace="181" w:vSpace="181" w:wrap="around" w:vAnchor="text" w:hAnchor="page" w:x="1135" w:y="285" w:anchorLock="1"/>
    </w:pPr>
    <w:rPr>
      <w:i/>
    </w:rPr>
  </w:style>
  <w:style w:type="paragraph" w:customStyle="1" w:styleId="MiniTOCTitle">
    <w:name w:val="MiniTOCTitle"/>
    <w:basedOn w:val="Heading4"/>
    <w:rsid w:val="00010661"/>
    <w:pPr>
      <w:spacing w:before="240"/>
      <w:outlineLvl w:val="9"/>
    </w:pPr>
    <w:rPr>
      <w:noProof/>
      <w:sz w:val="24"/>
    </w:rPr>
  </w:style>
  <w:style w:type="paragraph" w:customStyle="1" w:styleId="MiniTOCItem">
    <w:name w:val="MiniTOCItem"/>
    <w:basedOn w:val="ListBullet"/>
    <w:rsid w:val="00010661"/>
    <w:pPr>
      <w:numPr>
        <w:numId w:val="0"/>
      </w:numPr>
      <w:tabs>
        <w:tab w:val="right" w:leader="dot" w:pos="6521"/>
      </w:tabs>
      <w:spacing w:before="0" w:after="0"/>
    </w:pPr>
  </w:style>
  <w:style w:type="paragraph" w:customStyle="1" w:styleId="TOFTitle">
    <w:name w:val="TOFTitle"/>
    <w:basedOn w:val="TOCTitle"/>
    <w:rsid w:val="00010661"/>
  </w:style>
  <w:style w:type="paragraph" w:styleId="TableofFigures">
    <w:name w:val="table of figures"/>
    <w:basedOn w:val="Normal"/>
    <w:next w:val="Normal"/>
    <w:semiHidden/>
    <w:rsid w:val="00010661"/>
    <w:pPr>
      <w:tabs>
        <w:tab w:val="right" w:leader="dot" w:pos="9072"/>
      </w:tabs>
      <w:ind w:left="970" w:hanging="403"/>
    </w:pPr>
    <w:rPr>
      <w:rFonts w:ascii="Times New Roman" w:hAnsi="Times New Roman"/>
      <w:b/>
    </w:rPr>
  </w:style>
  <w:style w:type="paragraph" w:styleId="ListNumber">
    <w:name w:val="List Number"/>
    <w:basedOn w:val="List"/>
    <w:rsid w:val="00010661"/>
    <w:pPr>
      <w:numPr>
        <w:numId w:val="15"/>
      </w:numPr>
      <w:tabs>
        <w:tab w:val="clear" w:pos="340"/>
      </w:tabs>
    </w:pPr>
  </w:style>
  <w:style w:type="character" w:customStyle="1" w:styleId="WingdingSymbols">
    <w:name w:val="Wingding Symbols"/>
    <w:rsid w:val="00010661"/>
    <w:rPr>
      <w:rFonts w:ascii="Wingdings" w:hAnsi="Wingdings"/>
    </w:rPr>
  </w:style>
  <w:style w:type="paragraph" w:customStyle="1" w:styleId="TableHeading">
    <w:name w:val="Table Heading"/>
    <w:basedOn w:val="HeadingBase"/>
    <w:rsid w:val="00010661"/>
    <w:pPr>
      <w:keepLines/>
      <w:pBdr>
        <w:bottom w:val="single" w:sz="6" w:space="1" w:color="918585"/>
      </w:pBdr>
      <w:spacing w:before="240"/>
    </w:pPr>
  </w:style>
  <w:style w:type="character" w:customStyle="1" w:styleId="HotSpot">
    <w:name w:val="HotSpot"/>
    <w:rsid w:val="00010661"/>
    <w:rPr>
      <w:color w:val="0033CC"/>
      <w:u w:val="none"/>
    </w:rPr>
  </w:style>
  <w:style w:type="paragraph" w:customStyle="1" w:styleId="BodyTextRight">
    <w:name w:val="Body Text Right"/>
    <w:basedOn w:val="BodyText"/>
    <w:rsid w:val="00010661"/>
    <w:pPr>
      <w:spacing w:before="0" w:after="0"/>
      <w:jc w:val="right"/>
    </w:pPr>
  </w:style>
  <w:style w:type="paragraph" w:styleId="Index3">
    <w:name w:val="index 3"/>
    <w:basedOn w:val="ListNumber2"/>
    <w:next w:val="Normal"/>
    <w:semiHidden/>
    <w:rsid w:val="00010661"/>
    <w:pPr>
      <w:numPr>
        <w:numId w:val="0"/>
      </w:numPr>
      <w:tabs>
        <w:tab w:val="right" w:leader="dot" w:pos="4176"/>
      </w:tabs>
    </w:pPr>
  </w:style>
  <w:style w:type="paragraph" w:styleId="ListNumber2">
    <w:name w:val="List Number 2"/>
    <w:basedOn w:val="List2"/>
    <w:rsid w:val="00010661"/>
    <w:pPr>
      <w:numPr>
        <w:numId w:val="10"/>
      </w:numPr>
      <w:tabs>
        <w:tab w:val="clear" w:pos="1060"/>
      </w:tabs>
    </w:pPr>
  </w:style>
  <w:style w:type="paragraph" w:customStyle="1" w:styleId="MarginNote">
    <w:name w:val="Margin Note"/>
    <w:basedOn w:val="BodyText"/>
    <w:rsid w:val="00010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6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661"/>
    <w:rPr>
      <w:sz w:val="32"/>
    </w:rPr>
  </w:style>
  <w:style w:type="paragraph" w:customStyle="1" w:styleId="HeadingProcedure">
    <w:name w:val="Heading Procedure"/>
    <w:basedOn w:val="HeadingBase"/>
    <w:next w:val="Normal"/>
    <w:rsid w:val="00010661"/>
    <w:pPr>
      <w:tabs>
        <w:tab w:val="left" w:pos="0"/>
      </w:tabs>
      <w:spacing w:before="120" w:after="60"/>
    </w:pPr>
    <w:rPr>
      <w:i/>
      <w:color w:val="918585"/>
      <w:sz w:val="22"/>
    </w:rPr>
  </w:style>
  <w:style w:type="paragraph" w:customStyle="1" w:styleId="TableBodyText">
    <w:name w:val="Table Body Text"/>
    <w:basedOn w:val="BodyText"/>
    <w:rsid w:val="00010661"/>
    <w:pPr>
      <w:spacing w:before="60" w:after="60"/>
    </w:pPr>
  </w:style>
  <w:style w:type="paragraph" w:styleId="ListContinue">
    <w:name w:val="List Continue"/>
    <w:basedOn w:val="List"/>
    <w:rsid w:val="00010661"/>
    <w:pPr>
      <w:ind w:firstLine="0"/>
    </w:pPr>
  </w:style>
  <w:style w:type="paragraph" w:customStyle="1" w:styleId="ListNote">
    <w:name w:val="List Note"/>
    <w:basedOn w:val="List"/>
    <w:rsid w:val="00010661"/>
    <w:pPr>
      <w:pBdr>
        <w:top w:val="single" w:sz="6" w:space="2" w:color="918585"/>
        <w:bottom w:val="single" w:sz="6" w:space="2" w:color="918585"/>
      </w:pBdr>
      <w:tabs>
        <w:tab w:val="left" w:pos="1021"/>
      </w:tabs>
      <w:ind w:firstLine="0"/>
    </w:pPr>
  </w:style>
  <w:style w:type="paragraph" w:customStyle="1" w:styleId="Warning">
    <w:name w:val="Warning"/>
    <w:basedOn w:val="BodyText"/>
    <w:rsid w:val="00010661"/>
    <w:pPr>
      <w:shd w:val="clear" w:color="auto" w:fill="D9D9D9"/>
      <w:tabs>
        <w:tab w:val="left" w:pos="992"/>
      </w:tabs>
      <w:ind w:left="119" w:right="119"/>
    </w:pPr>
    <w:rPr>
      <w:sz w:val="20"/>
    </w:rPr>
  </w:style>
  <w:style w:type="paragraph" w:customStyle="1" w:styleId="MarginIcons">
    <w:name w:val="Margin Icons"/>
    <w:basedOn w:val="BodyText"/>
    <w:rsid w:val="00010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661"/>
    <w:rPr>
      <w:rFonts w:ascii="Courier New" w:hAnsi="Courier New"/>
    </w:rPr>
  </w:style>
  <w:style w:type="paragraph" w:customStyle="1" w:styleId="NoteBullet">
    <w:name w:val="Note Bullet"/>
    <w:basedOn w:val="Note"/>
    <w:rsid w:val="00010661"/>
    <w:pPr>
      <w:tabs>
        <w:tab w:val="clear" w:pos="680"/>
      </w:tabs>
      <w:spacing w:before="60" w:after="60"/>
    </w:pPr>
  </w:style>
  <w:style w:type="paragraph" w:customStyle="1" w:styleId="SubHeading2">
    <w:name w:val="SubHeading2"/>
    <w:basedOn w:val="HeadingBase"/>
    <w:rsid w:val="00010661"/>
    <w:pPr>
      <w:spacing w:before="240" w:after="60"/>
    </w:pPr>
    <w:rPr>
      <w:sz w:val="20"/>
    </w:rPr>
  </w:style>
  <w:style w:type="paragraph" w:customStyle="1" w:styleId="SubHeading1">
    <w:name w:val="SubHeading1"/>
    <w:basedOn w:val="HeadingBase"/>
    <w:rsid w:val="00010661"/>
    <w:pPr>
      <w:spacing w:before="240" w:after="60"/>
    </w:pPr>
    <w:rPr>
      <w:color w:val="918585"/>
      <w:sz w:val="22"/>
    </w:rPr>
  </w:style>
  <w:style w:type="paragraph" w:customStyle="1" w:styleId="SideHeading">
    <w:name w:val="Side Heading"/>
    <w:basedOn w:val="HeadingBase"/>
    <w:rsid w:val="00010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661"/>
    <w:pPr>
      <w:tabs>
        <w:tab w:val="num" w:pos="360"/>
      </w:tabs>
    </w:pPr>
  </w:style>
  <w:style w:type="paragraph" w:styleId="PlainText">
    <w:name w:val="Plain Text"/>
    <w:basedOn w:val="Normal"/>
    <w:link w:val="PlainTextChar"/>
    <w:rsid w:val="00010661"/>
    <w:rPr>
      <w:sz w:val="20"/>
    </w:rPr>
  </w:style>
  <w:style w:type="character" w:customStyle="1" w:styleId="PlainTextChar">
    <w:name w:val="Plain Text Char"/>
    <w:basedOn w:val="DefaultParagraphFont"/>
    <w:link w:val="PlainText"/>
    <w:rsid w:val="00010661"/>
    <w:rPr>
      <w:rFonts w:ascii="Courier New" w:eastAsia="Times New Roman" w:hAnsi="Courier New" w:cs="Times New Roman"/>
      <w:sz w:val="20"/>
      <w:szCs w:val="20"/>
      <w:lang w:eastAsia="en-US"/>
    </w:rPr>
  </w:style>
  <w:style w:type="character" w:customStyle="1" w:styleId="MenuOption">
    <w:name w:val="Menu Option"/>
    <w:basedOn w:val="DefaultParagraphFont"/>
    <w:rsid w:val="00010661"/>
    <w:rPr>
      <w:b/>
      <w:smallCaps/>
    </w:rPr>
  </w:style>
  <w:style w:type="paragraph" w:customStyle="1" w:styleId="TableListNumber">
    <w:name w:val="Table List Number"/>
    <w:basedOn w:val="ListNumber"/>
    <w:rsid w:val="00010661"/>
    <w:pPr>
      <w:numPr>
        <w:numId w:val="0"/>
      </w:numPr>
    </w:pPr>
  </w:style>
  <w:style w:type="paragraph" w:styleId="TOC4">
    <w:name w:val="toc 4"/>
    <w:basedOn w:val="TOCBase"/>
    <w:next w:val="Normal"/>
    <w:semiHidden/>
    <w:rsid w:val="00010661"/>
    <w:pPr>
      <w:tabs>
        <w:tab w:val="right" w:leader="dot" w:pos="9071"/>
      </w:tabs>
      <w:ind w:left="1701"/>
    </w:pPr>
  </w:style>
  <w:style w:type="paragraph" w:customStyle="1" w:styleId="ListAlpha">
    <w:name w:val="List Alpha"/>
    <w:basedOn w:val="List"/>
    <w:rsid w:val="00010661"/>
    <w:pPr>
      <w:numPr>
        <w:numId w:val="9"/>
      </w:numPr>
    </w:pPr>
  </w:style>
  <w:style w:type="paragraph" w:customStyle="1" w:styleId="ListAlpha2">
    <w:name w:val="List Alpha 2"/>
    <w:basedOn w:val="List2"/>
    <w:rsid w:val="00010661"/>
    <w:pPr>
      <w:numPr>
        <w:numId w:val="8"/>
      </w:numPr>
    </w:pPr>
  </w:style>
  <w:style w:type="paragraph" w:styleId="List2">
    <w:name w:val="List 2"/>
    <w:basedOn w:val="BodyText"/>
    <w:rsid w:val="00010661"/>
    <w:pPr>
      <w:tabs>
        <w:tab w:val="left" w:pos="680"/>
      </w:tabs>
      <w:spacing w:before="60" w:after="60"/>
      <w:ind w:left="680" w:hanging="340"/>
    </w:pPr>
  </w:style>
  <w:style w:type="paragraph" w:styleId="List3">
    <w:name w:val="List 3"/>
    <w:basedOn w:val="BodyText"/>
    <w:rsid w:val="00010661"/>
    <w:pPr>
      <w:tabs>
        <w:tab w:val="left" w:pos="1021"/>
      </w:tabs>
      <w:spacing w:before="60" w:after="60"/>
      <w:ind w:left="1020" w:hanging="340"/>
    </w:pPr>
  </w:style>
  <w:style w:type="paragraph" w:styleId="List4">
    <w:name w:val="List 4"/>
    <w:basedOn w:val="BodyText"/>
    <w:rsid w:val="00010661"/>
    <w:pPr>
      <w:tabs>
        <w:tab w:val="left" w:pos="1361"/>
      </w:tabs>
      <w:spacing w:before="60" w:after="60"/>
      <w:ind w:left="1361" w:hanging="340"/>
    </w:pPr>
  </w:style>
  <w:style w:type="paragraph" w:styleId="List5">
    <w:name w:val="List 5"/>
    <w:basedOn w:val="BodyText"/>
    <w:rsid w:val="00010661"/>
    <w:pPr>
      <w:tabs>
        <w:tab w:val="left" w:pos="1701"/>
      </w:tabs>
      <w:spacing w:before="60" w:after="60"/>
      <w:ind w:left="1701" w:hanging="340"/>
    </w:pPr>
  </w:style>
  <w:style w:type="paragraph" w:styleId="ListBullet3">
    <w:name w:val="List Bullet 3"/>
    <w:basedOn w:val="List3"/>
    <w:rsid w:val="00010661"/>
    <w:pPr>
      <w:numPr>
        <w:numId w:val="14"/>
      </w:numPr>
      <w:tabs>
        <w:tab w:val="clear" w:pos="1021"/>
      </w:tabs>
      <w:ind w:left="1037" w:hanging="357"/>
    </w:pPr>
  </w:style>
  <w:style w:type="paragraph" w:styleId="ListBullet4">
    <w:name w:val="List Bullet 4"/>
    <w:basedOn w:val="List4"/>
    <w:rsid w:val="00010661"/>
    <w:pPr>
      <w:numPr>
        <w:numId w:val="3"/>
      </w:numPr>
      <w:tabs>
        <w:tab w:val="clear" w:pos="1361"/>
      </w:tabs>
    </w:pPr>
  </w:style>
  <w:style w:type="paragraph" w:styleId="ListBullet5">
    <w:name w:val="List Bullet 5"/>
    <w:basedOn w:val="List5"/>
    <w:rsid w:val="00010661"/>
    <w:pPr>
      <w:numPr>
        <w:numId w:val="4"/>
      </w:numPr>
    </w:pPr>
  </w:style>
  <w:style w:type="paragraph" w:styleId="ListContinue2">
    <w:name w:val="List Continue 2"/>
    <w:basedOn w:val="List2"/>
    <w:rsid w:val="00010661"/>
    <w:pPr>
      <w:ind w:firstLine="0"/>
    </w:pPr>
  </w:style>
  <w:style w:type="paragraph" w:styleId="ListContinue3">
    <w:name w:val="List Continue 3"/>
    <w:basedOn w:val="List3"/>
    <w:rsid w:val="00010661"/>
    <w:pPr>
      <w:ind w:left="1021" w:firstLine="0"/>
    </w:pPr>
  </w:style>
  <w:style w:type="paragraph" w:styleId="ListContinue4">
    <w:name w:val="List Continue 4"/>
    <w:basedOn w:val="List4"/>
    <w:rsid w:val="00010661"/>
    <w:pPr>
      <w:ind w:firstLine="0"/>
    </w:pPr>
  </w:style>
  <w:style w:type="paragraph" w:styleId="ListContinue5">
    <w:name w:val="List Continue 5"/>
    <w:basedOn w:val="List5"/>
    <w:rsid w:val="00010661"/>
    <w:pPr>
      <w:ind w:firstLine="0"/>
    </w:pPr>
  </w:style>
  <w:style w:type="paragraph" w:styleId="ListNumber3">
    <w:name w:val="List Number 3"/>
    <w:basedOn w:val="List3"/>
    <w:rsid w:val="00010661"/>
    <w:pPr>
      <w:numPr>
        <w:numId w:val="5"/>
      </w:numPr>
    </w:pPr>
  </w:style>
  <w:style w:type="paragraph" w:styleId="ListNumber4">
    <w:name w:val="List Number 4"/>
    <w:basedOn w:val="List4"/>
    <w:rsid w:val="00010661"/>
    <w:pPr>
      <w:numPr>
        <w:numId w:val="6"/>
      </w:numPr>
    </w:pPr>
  </w:style>
  <w:style w:type="paragraph" w:styleId="ListNumber5">
    <w:name w:val="List Number 5"/>
    <w:basedOn w:val="List5"/>
    <w:rsid w:val="00010661"/>
    <w:pPr>
      <w:numPr>
        <w:numId w:val="7"/>
      </w:numPr>
    </w:pPr>
  </w:style>
  <w:style w:type="paragraph" w:styleId="BlockText">
    <w:name w:val="Block Text"/>
    <w:basedOn w:val="Normal"/>
    <w:rsid w:val="00010661"/>
    <w:pPr>
      <w:spacing w:after="120"/>
      <w:ind w:left="1440" w:right="1440"/>
    </w:pPr>
  </w:style>
  <w:style w:type="character" w:customStyle="1" w:styleId="Subscript">
    <w:name w:val="Subscript"/>
    <w:basedOn w:val="DefaultParagraphFont"/>
    <w:rsid w:val="00010661"/>
    <w:rPr>
      <w:sz w:val="16"/>
      <w:vertAlign w:val="subscript"/>
    </w:rPr>
  </w:style>
  <w:style w:type="character" w:customStyle="1" w:styleId="Superscript">
    <w:name w:val="Superscript"/>
    <w:basedOn w:val="DefaultParagraphFont"/>
    <w:rsid w:val="00010661"/>
    <w:rPr>
      <w:sz w:val="16"/>
      <w:vertAlign w:val="superscript"/>
    </w:rPr>
  </w:style>
  <w:style w:type="character" w:customStyle="1" w:styleId="Symbols">
    <w:name w:val="Symbols"/>
    <w:basedOn w:val="DefaultParagraphFont"/>
    <w:rsid w:val="00010661"/>
    <w:rPr>
      <w:rFonts w:ascii="Symbol" w:hAnsi="Symbol"/>
    </w:rPr>
  </w:style>
  <w:style w:type="character" w:customStyle="1" w:styleId="MenuOptions">
    <w:name w:val="Menu Options"/>
    <w:basedOn w:val="DefaultParagraphFont"/>
    <w:rsid w:val="00010661"/>
    <w:rPr>
      <w:rFonts w:ascii="Arial Narrow" w:hAnsi="Arial Narrow"/>
      <w:smallCaps/>
    </w:rPr>
  </w:style>
  <w:style w:type="character" w:customStyle="1" w:styleId="Buttons">
    <w:name w:val="Buttons"/>
    <w:basedOn w:val="DefaultParagraphFont"/>
    <w:rsid w:val="00010661"/>
    <w:rPr>
      <w:b/>
    </w:rPr>
  </w:style>
  <w:style w:type="character" w:customStyle="1" w:styleId="Underlined">
    <w:name w:val="Underlined"/>
    <w:basedOn w:val="DefaultParagraphFont"/>
    <w:rsid w:val="00010661"/>
    <w:rPr>
      <w:u w:val="single"/>
    </w:rPr>
  </w:style>
  <w:style w:type="paragraph" w:customStyle="1" w:styleId="TableBodyTextRight">
    <w:name w:val="Table Body Text Right"/>
    <w:basedOn w:val="TableBodyText"/>
    <w:rsid w:val="00010661"/>
    <w:pPr>
      <w:widowControl w:val="0"/>
      <w:autoSpaceDE w:val="0"/>
      <w:autoSpaceDN w:val="0"/>
      <w:adjustRightInd w:val="0"/>
      <w:jc w:val="right"/>
    </w:pPr>
    <w:rPr>
      <w:rFonts w:cs="Arial"/>
      <w:szCs w:val="18"/>
    </w:rPr>
  </w:style>
  <w:style w:type="paragraph" w:customStyle="1" w:styleId="CopyrightText">
    <w:name w:val="Copyright Text"/>
    <w:basedOn w:val="BodyText"/>
    <w:rsid w:val="00010661"/>
    <w:rPr>
      <w:sz w:val="18"/>
    </w:rPr>
  </w:style>
  <w:style w:type="paragraph" w:customStyle="1" w:styleId="BodySmallRight">
    <w:name w:val="Body Small Right"/>
    <w:basedOn w:val="BodyTextRight"/>
    <w:rsid w:val="00010661"/>
    <w:rPr>
      <w:sz w:val="18"/>
      <w:szCs w:val="18"/>
    </w:rPr>
  </w:style>
  <w:style w:type="paragraph" w:customStyle="1" w:styleId="MarginEdition">
    <w:name w:val="Margin Edition"/>
    <w:basedOn w:val="MarginNote"/>
    <w:rsid w:val="00010661"/>
    <w:pPr>
      <w:spacing w:before="0" w:after="0"/>
    </w:pPr>
    <w:rPr>
      <w:rFonts w:ascii="Times New Roman" w:hAnsi="Times New Roman"/>
      <w:color w:val="999999"/>
    </w:rPr>
  </w:style>
  <w:style w:type="paragraph" w:customStyle="1" w:styleId="Spacer">
    <w:name w:val="Spacer"/>
    <w:basedOn w:val="Normal"/>
    <w:rsid w:val="00010661"/>
    <w:rPr>
      <w:sz w:val="2"/>
      <w:szCs w:val="2"/>
    </w:rPr>
  </w:style>
  <w:style w:type="character" w:customStyle="1" w:styleId="Small">
    <w:name w:val="Small"/>
    <w:basedOn w:val="DefaultParagraphFont"/>
    <w:rsid w:val="00010661"/>
    <w:rPr>
      <w:sz w:val="16"/>
    </w:rPr>
  </w:style>
  <w:style w:type="paragraph" w:customStyle="1" w:styleId="WideTable">
    <w:name w:val="Wide Table"/>
    <w:basedOn w:val="Normal"/>
    <w:rsid w:val="00010661"/>
    <w:pPr>
      <w:ind w:left="-1418"/>
    </w:pPr>
    <w:rPr>
      <w:sz w:val="2"/>
      <w:szCs w:val="2"/>
    </w:rPr>
  </w:style>
  <w:style w:type="character" w:styleId="PageNumber">
    <w:name w:val="page number"/>
    <w:basedOn w:val="DefaultParagraphFont"/>
    <w:rsid w:val="00010661"/>
  </w:style>
  <w:style w:type="paragraph" w:styleId="Quote">
    <w:name w:val="Quote"/>
    <w:basedOn w:val="Heading1"/>
    <w:link w:val="QuoteChar"/>
    <w:qFormat/>
    <w:rsid w:val="00010661"/>
    <w:rPr>
      <w:b w:val="0"/>
      <w:sz w:val="72"/>
      <w:szCs w:val="72"/>
      <w:lang w:val="en-NZ"/>
    </w:rPr>
  </w:style>
  <w:style w:type="character" w:customStyle="1" w:styleId="QuoteChar">
    <w:name w:val="Quote Char"/>
    <w:basedOn w:val="DefaultParagraphFont"/>
    <w:link w:val="Quote"/>
    <w:rsid w:val="00010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661"/>
    <w:pPr>
      <w:pageBreakBefore/>
    </w:pPr>
  </w:style>
  <w:style w:type="paragraph" w:customStyle="1" w:styleId="Border">
    <w:name w:val="Border"/>
    <w:basedOn w:val="Normal"/>
    <w:qFormat/>
    <w:rsid w:val="00010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661"/>
    <w:rPr>
      <w:b/>
      <w:bCs/>
      <w:i/>
      <w:iCs/>
      <w:color w:val="auto"/>
    </w:rPr>
  </w:style>
  <w:style w:type="paragraph" w:styleId="IntenseQuote">
    <w:name w:val="Intense Quote"/>
    <w:basedOn w:val="Normal"/>
    <w:next w:val="Normal"/>
    <w:link w:val="IntenseQuoteChar"/>
    <w:uiPriority w:val="30"/>
    <w:qFormat/>
    <w:rsid w:val="00010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6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661"/>
    <w:rPr>
      <w:smallCaps/>
      <w:color w:val="auto"/>
      <w:u w:val="single"/>
    </w:rPr>
  </w:style>
  <w:style w:type="character" w:styleId="IntenseReference">
    <w:name w:val="Intense Reference"/>
    <w:basedOn w:val="DefaultParagraphFont"/>
    <w:uiPriority w:val="32"/>
    <w:qFormat/>
    <w:rsid w:val="00010661"/>
    <w:rPr>
      <w:b/>
      <w:bCs/>
      <w:smallCaps/>
      <w:color w:val="auto"/>
      <w:spacing w:val="5"/>
      <w:u w:val="single"/>
    </w:rPr>
  </w:style>
  <w:style w:type="paragraph" w:customStyle="1" w:styleId="2ColumnHeading">
    <w:name w:val="2Column Heading"/>
    <w:basedOn w:val="BodyText"/>
    <w:qFormat/>
    <w:rsid w:val="00010661"/>
    <w:pPr>
      <w:spacing w:after="60"/>
      <w:ind w:left="-2268"/>
    </w:pPr>
    <w:rPr>
      <w:b/>
    </w:rPr>
  </w:style>
  <w:style w:type="paragraph" w:customStyle="1" w:styleId="Heading1TOC">
    <w:name w:val="Heading1 TOC"/>
    <w:basedOn w:val="Normal"/>
    <w:qFormat/>
    <w:rsid w:val="00010661"/>
    <w:pPr>
      <w:spacing w:before="240" w:after="120"/>
    </w:pPr>
    <w:rPr>
      <w:rFonts w:ascii="Times New Roman" w:hAnsi="Times New Roman"/>
      <w:b/>
      <w:sz w:val="32"/>
    </w:rPr>
  </w:style>
  <w:style w:type="paragraph" w:customStyle="1" w:styleId="Heading2TOC">
    <w:name w:val="Heading2 TOC"/>
    <w:basedOn w:val="Normal"/>
    <w:qFormat/>
    <w:rsid w:val="00010661"/>
    <w:pPr>
      <w:spacing w:before="240" w:after="60"/>
    </w:pPr>
    <w:rPr>
      <w:rFonts w:ascii="Times New Roman" w:hAnsi="Times New Roman"/>
      <w:b/>
      <w:sz w:val="28"/>
    </w:rPr>
  </w:style>
  <w:style w:type="character" w:customStyle="1" w:styleId="Underline">
    <w:name w:val="Underline"/>
    <w:basedOn w:val="DefaultParagraphFont"/>
    <w:qFormat/>
    <w:rsid w:val="00010661"/>
    <w:rPr>
      <w:u w:val="single"/>
    </w:rPr>
  </w:style>
  <w:style w:type="character" w:customStyle="1" w:styleId="BoldandItalics">
    <w:name w:val="Bold and Italics"/>
    <w:qFormat/>
    <w:rsid w:val="00010661"/>
    <w:rPr>
      <w:b/>
      <w:i/>
      <w:u w:val="none"/>
    </w:rPr>
  </w:style>
  <w:style w:type="paragraph" w:styleId="BalloonText">
    <w:name w:val="Balloon Text"/>
    <w:basedOn w:val="Normal"/>
    <w:link w:val="BalloonTextChar"/>
    <w:rsid w:val="00010661"/>
    <w:rPr>
      <w:rFonts w:ascii="Tahoma" w:hAnsi="Tahoma" w:cs="Tahoma"/>
      <w:sz w:val="16"/>
      <w:szCs w:val="16"/>
    </w:rPr>
  </w:style>
  <w:style w:type="character" w:customStyle="1" w:styleId="BalloonTextChar">
    <w:name w:val="Balloon Text Char"/>
    <w:basedOn w:val="DefaultParagraphFont"/>
    <w:link w:val="BalloonText"/>
    <w:rsid w:val="000106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6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6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661"/>
    <w:rPr>
      <w:b/>
      <w:color w:val="660033"/>
      <w:spacing w:val="0"/>
    </w:rPr>
  </w:style>
  <w:style w:type="paragraph" w:customStyle="1" w:styleId="Nameditemlist">
    <w:name w:val="Named item list"/>
    <w:basedOn w:val="BodyText"/>
    <w:qFormat/>
    <w:rsid w:val="00010661"/>
    <w:pPr>
      <w:tabs>
        <w:tab w:val="left" w:pos="2835"/>
      </w:tabs>
      <w:ind w:left="2835" w:hanging="2835"/>
    </w:pPr>
  </w:style>
  <w:style w:type="paragraph" w:customStyle="1" w:styleId="BodyTextnopadding">
    <w:name w:val="Body Text no padding"/>
    <w:basedOn w:val="BodyText"/>
    <w:qFormat/>
    <w:rsid w:val="00010661"/>
    <w:pPr>
      <w:spacing w:before="0" w:after="0"/>
    </w:pPr>
  </w:style>
  <w:style w:type="paragraph" w:customStyle="1" w:styleId="BodyTextBold">
    <w:name w:val="Body Text Bold"/>
    <w:basedOn w:val="BodyText"/>
    <w:qFormat/>
    <w:rsid w:val="00010661"/>
    <w:rPr>
      <w:b/>
    </w:rPr>
  </w:style>
  <w:style w:type="character" w:styleId="Hyperlink">
    <w:name w:val="Hyperlink"/>
    <w:basedOn w:val="DefaultParagraphFont"/>
    <w:uiPriority w:val="99"/>
    <w:unhideWhenUsed/>
    <w:rsid w:val="004934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5218</Characters>
  <Application>Microsoft Office Word</Application>
  <DocSecurity>0</DocSecurity>
  <Lines>133</Lines>
  <Paragraphs>87</Paragraphs>
  <ScaleCrop>false</ScaleCrop>
  <Company>Author-it Software Corporation Ltd.</Company>
  <LinksUpToDate>false</LinksUpToDate>
  <CharactersWithSpaces>5968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RIIOGD204E Perform rig floor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2021-01-25T11:38:00Z</dcterms:created>
  <dcterms:modified xsi:type="dcterms:W3CDTF">2021-01-25T11:38:00Z</dcterms:modified>
</cp:coreProperties>
</file>