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4D08" w:rsidP="004D4D08">
      <w:pPr>
        <w:pStyle w:val="Title"/>
      </w:pPr>
      <w:r>
        <w:fldChar w:fldCharType="begin"/>
      </w:r>
      <w:r>
        <w:instrText xml:space="preserve"> TITLE   \* MERGEFORMAT </w:instrText>
      </w:r>
      <w:r>
        <w:fldChar w:fldCharType="separate"/>
      </w:r>
      <w:r>
        <w:t>Assessment Requirements for RIIOGD204D Perform rig floor operations</w:t>
      </w:r>
      <w:r>
        <w:fldChar w:fldCharType="end"/>
      </w:r>
    </w:p>
    <w:p w:rsidR="004D4D08" w:rsidP="004D4D08">
      <w:pPr>
        <w:pStyle w:val="Version"/>
        <w:sectPr w:rsidSect="003214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2145B" w:rsidP="0032145B">
      <w:pPr>
        <w:pStyle w:val="SuperHeading"/>
      </w:pPr>
      <w:r w:rsidRPr="0032145B">
        <w:t>Assessment Requirements for RIIOGD204D Perform rig floor operations</w:t>
      </w:r>
    </w:p>
    <w:p w:rsidR="00000000" w:rsidRPr="0032145B" w:rsidP="0032145B">
      <w:pPr>
        <w:pStyle w:val="Heading1"/>
      </w:pPr>
      <w:bookmarkStart w:id="1" w:name="O_690884"/>
      <w:bookmarkEnd w:id="1"/>
      <w:r w:rsidRPr="0032145B">
        <w:t>Modification History</w:t>
      </w:r>
    </w:p>
    <w:tbl>
      <w:tblPr>
        <w:tblW w:w="0" w:type="auto"/>
        <w:tblCellMar>
          <w:left w:w="62" w:type="dxa"/>
          <w:right w:w="62" w:type="dxa"/>
        </w:tblCellMar>
        <w:tblLook w:val="0000"/>
      </w:tblPr>
      <w:tblGrid>
        <w:gridCol w:w="1107"/>
        <w:gridCol w:w="8089"/>
      </w:tblGrid>
      <w:tr w:rsidTr="004D4D0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45B">
            <w:pPr>
              <w:pStyle w:val="Heading4"/>
              <w:rPr>
                <w:lang w:val="en-NZ"/>
              </w:rPr>
            </w:pPr>
            <w:r w:rsidRPr="0032145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45B">
            <w:pPr>
              <w:pStyle w:val="Heading4"/>
              <w:rPr>
                <w:lang w:val="en-NZ"/>
              </w:rPr>
            </w:pPr>
            <w:r w:rsidRPr="0032145B">
              <w:t>Comment</w:t>
            </w:r>
          </w:p>
        </w:tc>
      </w:tr>
      <w:tr w:rsidTr="004D4D0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45B">
            <w:pPr>
              <w:pStyle w:val="BodyText"/>
              <w:rPr>
                <w:lang w:val="en-NZ"/>
              </w:rPr>
            </w:pPr>
            <w:r w:rsidRPr="0032145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45B">
            <w:pPr>
              <w:pStyle w:val="BodyText"/>
              <w:rPr>
                <w:lang w:val="en-NZ"/>
              </w:rPr>
            </w:pPr>
            <w:r w:rsidRPr="0032145B">
              <w:t>This unit replaces RIIOGD204 Perform rig floor operations</w:t>
            </w:r>
          </w:p>
        </w:tc>
      </w:tr>
      <w:tr w:rsidTr="004D4D0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45B">
            <w:pPr>
              <w:pStyle w:val="BodyText"/>
              <w:rPr>
                <w:lang w:val="en-NZ"/>
              </w:rPr>
            </w:pPr>
            <w:r w:rsidRPr="0032145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45B" w:rsidP="0032145B">
            <w:pPr>
              <w:pStyle w:val="BodyText"/>
            </w:pPr>
            <w:r w:rsidRPr="0032145B">
              <w:t>Required frequency and volume of evidence amended in Performance evidence.</w:t>
            </w:r>
          </w:p>
          <w:p w:rsidR="00000000" w:rsidRPr="0032145B" w:rsidP="0032145B">
            <w:pPr>
              <w:pStyle w:val="BodyText"/>
            </w:pPr>
            <w:r w:rsidRPr="0032145B">
              <w:t>Substantial amendments made in Assessment Conditions field, including: references to Industry Sectors, assessor and subject matter expert experience requirements, how assessment sho</w:t>
            </w:r>
            <w:r w:rsidRPr="0032145B">
              <w:t>uld be conducted and what it should confirm.</w:t>
            </w:r>
          </w:p>
        </w:tc>
      </w:tr>
    </w:tbl>
    <w:p w:rsidR="00000000" w:rsidRPr="0032145B" w:rsidP="0032145B">
      <w:pPr>
        <w:pStyle w:val="BodyText"/>
      </w:pPr>
    </w:p>
    <w:p w:rsidR="00000000" w:rsidRPr="0032145B" w:rsidP="0032145B">
      <w:pPr>
        <w:pStyle w:val="AllowPageBreak"/>
      </w:pPr>
    </w:p>
    <w:p w:rsidR="00000000" w:rsidRPr="0032145B" w:rsidP="0032145B">
      <w:pPr>
        <w:pStyle w:val="Heading1"/>
      </w:pPr>
      <w:bookmarkStart w:id="2" w:name="O_690883"/>
      <w:bookmarkEnd w:id="2"/>
      <w:r w:rsidRPr="0032145B">
        <w:t>Performance Evidence</w:t>
      </w:r>
    </w:p>
    <w:p w:rsidR="00000000" w:rsidRPr="0032145B" w:rsidP="0032145B">
      <w:pPr>
        <w:pStyle w:val="BodyText"/>
      </w:pPr>
      <w:r w:rsidRPr="0032145B">
        <w:t>Evidence is required to be collected that demonstrates a candidate’s competency in this unit. Evidence must be relevant to the roles within this sector’</w:t>
      </w:r>
      <w:r w:rsidRPr="0032145B">
        <w:t>s work operations and satisfy all of the requirements of the performance criteria of this unit and include evidence that the candidate:</w:t>
      </w:r>
    </w:p>
    <w:p w:rsidR="00000000" w:rsidRPr="0032145B" w:rsidP="0032145B">
      <w:pPr>
        <w:pStyle w:val="ListBullet"/>
      </w:pPr>
      <w:r w:rsidRPr="0032145B">
        <w:t>competently completes all evidence activities with the ability to transfer and apply skills and knowledge to new situat</w:t>
      </w:r>
      <w:r w:rsidRPr="0032145B">
        <w:t>ions and environments on more than one occasion</w:t>
      </w:r>
    </w:p>
    <w:p w:rsidR="00000000" w:rsidRPr="0032145B" w:rsidP="0032145B">
      <w:pPr>
        <w:pStyle w:val="ListBullet"/>
      </w:pPr>
      <w:r w:rsidRPr="0032145B">
        <w:t>locates and applies applicable legislation, documentation, policies and procedures</w:t>
      </w:r>
    </w:p>
    <w:p w:rsidR="00000000" w:rsidRPr="0032145B" w:rsidP="0032145B">
      <w:pPr>
        <w:pStyle w:val="ListBullet"/>
      </w:pPr>
      <w:r w:rsidRPr="0032145B">
        <w:t>implements the requirements, procedures and techniques for the safe, effective and efficient completion of performing rig flo</w:t>
      </w:r>
      <w:r w:rsidRPr="0032145B">
        <w:t>or operations including:</w:t>
      </w:r>
    </w:p>
    <w:p w:rsidR="00000000" w:rsidRPr="0032145B" w:rsidP="0032145B">
      <w:pPr>
        <w:pStyle w:val="ListBullet2"/>
      </w:pPr>
      <w:r w:rsidRPr="0032145B">
        <w:t>safe handling of tubulars and associated equipment</w:t>
      </w:r>
    </w:p>
    <w:p w:rsidR="00000000" w:rsidRPr="0032145B" w:rsidP="0032145B">
      <w:pPr>
        <w:pStyle w:val="ListBullet2"/>
      </w:pPr>
      <w:r w:rsidRPr="0032145B">
        <w:t>preparation of the casing</w:t>
      </w:r>
    </w:p>
    <w:p w:rsidR="00000000" w:rsidRPr="0032145B" w:rsidP="0032145B">
      <w:pPr>
        <w:pStyle w:val="ListBullet2"/>
      </w:pPr>
      <w:r w:rsidRPr="0032145B">
        <w:t>preparation and operation of the drill string</w:t>
      </w:r>
    </w:p>
    <w:p w:rsidR="00000000" w:rsidRPr="0032145B" w:rsidP="0032145B">
      <w:pPr>
        <w:pStyle w:val="ListBullet2"/>
      </w:pPr>
      <w:r w:rsidRPr="0032145B">
        <w:t>preparation and position the BOP over wellhead</w:t>
      </w:r>
    </w:p>
    <w:p w:rsidR="00000000" w:rsidRPr="0032145B" w:rsidP="0032145B">
      <w:pPr>
        <w:pStyle w:val="ListBullet2"/>
      </w:pPr>
      <w:r w:rsidRPr="0032145B">
        <w:t>preparation of well control and mitigation equipment</w:t>
      </w:r>
    </w:p>
    <w:p w:rsidR="00000000" w:rsidRPr="0032145B" w:rsidP="0032145B">
      <w:pPr>
        <w:pStyle w:val="ListBullet2"/>
      </w:pPr>
      <w:r w:rsidRPr="0032145B">
        <w:t>using t</w:t>
      </w:r>
      <w:r w:rsidRPr="0032145B">
        <w:t xml:space="preserve">he correct sequence and operation of equipment </w:t>
      </w:r>
    </w:p>
    <w:p w:rsidR="00000000" w:rsidRPr="0032145B" w:rsidP="0032145B">
      <w:pPr>
        <w:pStyle w:val="ListBullet2"/>
      </w:pPr>
      <w:r w:rsidRPr="0032145B">
        <w:t xml:space="preserve">reading, interpreting and recording in writing all measurements and data required for rig operations </w:t>
      </w:r>
    </w:p>
    <w:p w:rsidR="00000000" w:rsidRPr="0032145B" w:rsidP="0032145B">
      <w:pPr>
        <w:pStyle w:val="ListBullet2"/>
      </w:pPr>
      <w:r w:rsidRPr="0032145B">
        <w:t>identifying the patterns and positions of the sheaves cable and its hanging points</w:t>
      </w:r>
    </w:p>
    <w:p w:rsidR="00000000" w:rsidRPr="0032145B" w:rsidP="0032145B">
      <w:pPr>
        <w:pStyle w:val="ListBullet"/>
      </w:pPr>
      <w:r w:rsidRPr="0032145B">
        <w:t>works effectively with others to undertake and complete the performance of rig floor operations that meets all the required outcomes including:</w:t>
      </w:r>
    </w:p>
    <w:p w:rsidR="00000000" w:rsidRPr="0032145B" w:rsidP="0032145B">
      <w:pPr>
        <w:pStyle w:val="ListBullet2"/>
      </w:pPr>
      <w:r w:rsidRPr="0032145B">
        <w:t>organising work activities to meet all task requirements</w:t>
      </w:r>
    </w:p>
    <w:p w:rsidR="00000000" w:rsidRPr="0032145B" w:rsidP="0032145B">
      <w:pPr>
        <w:pStyle w:val="ListBullet2"/>
      </w:pPr>
      <w:r w:rsidRPr="0032145B">
        <w:t>communicating clearly and concisely with others to rec</w:t>
      </w:r>
      <w:r w:rsidRPr="0032145B">
        <w:t>eive and clarify work instructions</w:t>
      </w:r>
    </w:p>
    <w:p w:rsidR="00000000" w:rsidRPr="0032145B" w:rsidP="0032145B">
      <w:pPr>
        <w:pStyle w:val="ListBullet"/>
      </w:pPr>
      <w:r w:rsidRPr="0032145B">
        <w:t>demonstrates completion of performing rig floor operations that safely, effectively and efficiently meets all of the required outcomes on more than one (1) occasion including:</w:t>
      </w:r>
    </w:p>
    <w:p w:rsidR="00000000" w:rsidRPr="0032145B" w:rsidP="0032145B">
      <w:pPr>
        <w:pStyle w:val="ListBullet2"/>
      </w:pPr>
      <w:r w:rsidRPr="0032145B">
        <w:t>prepares and runs the temporary guide base</w:t>
      </w:r>
    </w:p>
    <w:p w:rsidR="00000000" w:rsidRPr="0032145B" w:rsidP="0032145B">
      <w:pPr>
        <w:pStyle w:val="ListBullet2"/>
      </w:pPr>
      <w:r w:rsidRPr="0032145B">
        <w:t xml:space="preserve">prepares and runs the drill string </w:t>
      </w:r>
    </w:p>
    <w:p w:rsidR="00000000" w:rsidRPr="0032145B" w:rsidP="0032145B">
      <w:pPr>
        <w:pStyle w:val="ListBullet2"/>
      </w:pPr>
      <w:r w:rsidRPr="0032145B">
        <w:t>assists in preparing, running and cementing of casing</w:t>
      </w:r>
    </w:p>
    <w:p w:rsidR="00000000" w:rsidRPr="0032145B" w:rsidP="0032145B">
      <w:pPr>
        <w:pStyle w:val="ListBullet2"/>
      </w:pPr>
      <w:r w:rsidRPr="0032145B">
        <w:t>prepares and operates pipe handling equipment</w:t>
      </w:r>
    </w:p>
    <w:p w:rsidR="00000000" w:rsidRPr="0032145B" w:rsidP="0032145B">
      <w:pPr>
        <w:pStyle w:val="AllowPageBreak"/>
      </w:pPr>
    </w:p>
    <w:p w:rsidR="00000000" w:rsidRPr="0032145B" w:rsidP="0032145B">
      <w:pPr>
        <w:pStyle w:val="Heading1"/>
      </w:pPr>
      <w:bookmarkStart w:id="3" w:name="O_690882"/>
      <w:bookmarkEnd w:id="3"/>
      <w:r w:rsidRPr="0032145B">
        <w:t>Knowledge Evidence</w:t>
      </w:r>
    </w:p>
    <w:p w:rsidR="00000000" w:rsidRPr="0032145B" w:rsidP="0032145B">
      <w:pPr>
        <w:pStyle w:val="BodyText"/>
      </w:pPr>
      <w:r w:rsidRPr="0032145B">
        <w:t>The candidate must demonstrate knowledge in performing rig floor operations through:</w:t>
      </w:r>
    </w:p>
    <w:p w:rsidR="00000000" w:rsidRPr="0032145B" w:rsidP="0032145B">
      <w:pPr>
        <w:pStyle w:val="ListBullet"/>
      </w:pPr>
      <w:r w:rsidRPr="0032145B">
        <w:t>applying organisation and site requirements and procedures for:</w:t>
      </w:r>
    </w:p>
    <w:p w:rsidR="00000000" w:rsidRPr="0032145B" w:rsidP="0032145B">
      <w:pPr>
        <w:pStyle w:val="ListBullet2"/>
      </w:pPr>
      <w:r w:rsidRPr="0032145B">
        <w:t>rig maintenance, safety and emergency procedures</w:t>
      </w:r>
    </w:p>
    <w:p w:rsidR="00000000" w:rsidRPr="0032145B" w:rsidP="0032145B">
      <w:pPr>
        <w:pStyle w:val="ListBullet2"/>
      </w:pPr>
      <w:r w:rsidRPr="0032145B">
        <w:t>company and statutory safety guidelines, procedures and practices</w:t>
      </w:r>
    </w:p>
    <w:p w:rsidR="00000000" w:rsidRPr="0032145B" w:rsidP="0032145B">
      <w:pPr>
        <w:pStyle w:val="ListBullet2"/>
      </w:pPr>
      <w:r w:rsidRPr="0032145B">
        <w:t>equipment safe operating procedures</w:t>
      </w:r>
    </w:p>
    <w:p w:rsidR="00000000" w:rsidRPr="0032145B" w:rsidP="0032145B">
      <w:pPr>
        <w:pStyle w:val="ListBullet2"/>
      </w:pPr>
      <w:r w:rsidRPr="0032145B">
        <w:t>equipment condition and reporting mechanisms</w:t>
      </w:r>
    </w:p>
    <w:p w:rsidR="00000000" w:rsidRPr="0032145B" w:rsidP="0032145B">
      <w:pPr>
        <w:pStyle w:val="ListBullet"/>
      </w:pPr>
      <w:r w:rsidRPr="0032145B">
        <w:t>the function of the triangular mark stamped just above the casing</w:t>
      </w:r>
    </w:p>
    <w:p w:rsidR="00000000" w:rsidRPr="0032145B" w:rsidP="0032145B">
      <w:pPr>
        <w:pStyle w:val="ListBullet"/>
      </w:pPr>
      <w:r w:rsidRPr="0032145B">
        <w:t>what steps are taken if the well kicks whilst running casing</w:t>
      </w:r>
    </w:p>
    <w:p w:rsidR="00000000" w:rsidRPr="0032145B" w:rsidP="0032145B">
      <w:pPr>
        <w:pStyle w:val="ListBullet"/>
      </w:pPr>
      <w:r w:rsidRPr="0032145B">
        <w:t>applying lubrication techniques</w:t>
      </w:r>
    </w:p>
    <w:p w:rsidR="00000000" w:rsidRPr="0032145B" w:rsidP="0032145B">
      <w:pPr>
        <w:pStyle w:val="ListBullet"/>
      </w:pPr>
      <w:r w:rsidRPr="0032145B">
        <w:t>normal drilling operations</w:t>
      </w:r>
    </w:p>
    <w:p w:rsidR="00000000" w:rsidRPr="0032145B" w:rsidP="0032145B">
      <w:pPr>
        <w:pStyle w:val="ListBullet"/>
      </w:pPr>
      <w:r w:rsidRPr="0032145B">
        <w:t>non-routine drilling ope</w:t>
      </w:r>
      <w:r w:rsidRPr="0032145B">
        <w:t>rations</w:t>
      </w:r>
    </w:p>
    <w:p w:rsidR="00000000" w:rsidRPr="0032145B" w:rsidP="0032145B">
      <w:pPr>
        <w:pStyle w:val="ListBullet"/>
      </w:pPr>
      <w:r w:rsidRPr="0032145B">
        <w:t>performing conversion between metric and imperial</w:t>
      </w:r>
    </w:p>
    <w:p w:rsidR="00000000" w:rsidRPr="0032145B" w:rsidP="0032145B">
      <w:pPr>
        <w:pStyle w:val="ListBullet"/>
      </w:pPr>
      <w:r w:rsidRPr="0032145B">
        <w:t>performing a range of numerical calculations and measurements including:</w:t>
      </w:r>
    </w:p>
    <w:p w:rsidR="00000000" w:rsidRPr="0032145B" w:rsidP="0032145B">
      <w:pPr>
        <w:pStyle w:val="ListBullet2"/>
      </w:pPr>
      <w:r w:rsidRPr="0032145B">
        <w:t>length</w:t>
      </w:r>
    </w:p>
    <w:p w:rsidR="00000000" w:rsidRPr="0032145B" w:rsidP="0032145B">
      <w:pPr>
        <w:pStyle w:val="ListBullet2"/>
      </w:pPr>
      <w:r w:rsidRPr="0032145B">
        <w:t>quantities</w:t>
      </w:r>
    </w:p>
    <w:p w:rsidR="00000000" w:rsidRPr="0032145B" w:rsidP="0032145B">
      <w:pPr>
        <w:pStyle w:val="ListBullet2"/>
      </w:pPr>
      <w:r w:rsidRPr="0032145B">
        <w:t>volumes</w:t>
      </w:r>
    </w:p>
    <w:p w:rsidR="00000000" w:rsidRPr="0032145B" w:rsidP="0032145B">
      <w:pPr>
        <w:pStyle w:val="ListBullet2"/>
      </w:pPr>
      <w:r w:rsidRPr="0032145B">
        <w:t>conversion rates</w:t>
      </w:r>
    </w:p>
    <w:p w:rsidR="00000000" w:rsidRPr="0032145B" w:rsidP="0032145B">
      <w:pPr>
        <w:pStyle w:val="ListBullet"/>
      </w:pPr>
      <w:r w:rsidRPr="0032145B">
        <w:t>well control</w:t>
      </w:r>
    </w:p>
    <w:p w:rsidR="00000000" w:rsidRPr="0032145B" w:rsidP="0032145B">
      <w:pPr>
        <w:pStyle w:val="AllowPageBreak"/>
      </w:pPr>
    </w:p>
    <w:p w:rsidR="00000000" w:rsidRPr="0032145B" w:rsidP="0032145B">
      <w:pPr>
        <w:pStyle w:val="Heading1"/>
      </w:pPr>
      <w:bookmarkStart w:id="4" w:name="O_690881"/>
      <w:bookmarkEnd w:id="4"/>
      <w:r w:rsidRPr="0032145B">
        <w:t>Assessment Conditions</w:t>
      </w:r>
    </w:p>
    <w:p w:rsidR="00000000" w:rsidRPr="0032145B" w:rsidP="0032145B">
      <w:pPr>
        <w:pStyle w:val="ListBullet"/>
      </w:pPr>
      <w:r w:rsidRPr="0032145B">
        <w:t xml:space="preserve">An assessor of this unit must satisfy the requirements of the NVR/AQTF or their successors; and Industry regulations for certification and licensing; and, </w:t>
      </w:r>
    </w:p>
    <w:p w:rsidR="00000000" w:rsidRPr="0032145B" w:rsidP="0032145B">
      <w:pPr>
        <w:pStyle w:val="ListBullet"/>
      </w:pPr>
      <w:r w:rsidRPr="0032145B">
        <w:t>this unit must be assessed in the context of this sector’s work environment; and,</w:t>
      </w:r>
    </w:p>
    <w:p w:rsidR="00000000" w:rsidRPr="0032145B" w:rsidP="0032145B">
      <w:pPr>
        <w:pStyle w:val="ListBullet"/>
      </w:pPr>
      <w:r w:rsidRPr="0032145B">
        <w:t xml:space="preserve">this unit must be </w:t>
      </w:r>
      <w:r w:rsidRPr="0032145B">
        <w:t>assessed in compliance with relevant legislation/regulation and using policies, procedures, processes and operational manuals directly related to the industry sector for which it is being assessed; and,</w:t>
      </w:r>
    </w:p>
    <w:p w:rsidR="00000000" w:rsidRPr="0032145B" w:rsidP="0032145B">
      <w:pPr>
        <w:pStyle w:val="ListBullet"/>
      </w:pPr>
      <w:r w:rsidRPr="0032145B">
        <w:t>assessment may be conducted in conjunction with the a</w:t>
      </w:r>
      <w:r w:rsidRPr="0032145B">
        <w:t>ssessment of other Units of Competency; and,</w:t>
      </w:r>
    </w:p>
    <w:p w:rsidR="00000000" w:rsidRPr="0032145B" w:rsidP="0032145B">
      <w:pPr>
        <w:pStyle w:val="ListBullet"/>
      </w:pPr>
      <w:r w:rsidRPr="0032145B">
        <w:t>assessment must confirm consistent performance can be applied in a range of relevant workplace circumstances; and,</w:t>
      </w:r>
    </w:p>
    <w:p w:rsidR="00000000" w:rsidRPr="0032145B" w:rsidP="0032145B">
      <w:pPr>
        <w:pStyle w:val="ListBullet"/>
      </w:pPr>
      <w:r w:rsidRPr="0032145B">
        <w:t xml:space="preserve">assessors must demonstrate the performance evidence, and knowledge evidence as outlined in this </w:t>
      </w:r>
      <w:r w:rsidRPr="0032145B">
        <w:t>Unit of Competency, and through the minimum years of current* work experience specified below in an Industry sector relevant to the outcomes of the unit; or,</w:t>
      </w:r>
    </w:p>
    <w:p w:rsidR="00000000" w:rsidRPr="0032145B" w:rsidP="0032145B">
      <w:pPr>
        <w:pStyle w:val="ListBullet"/>
      </w:pPr>
      <w:r w:rsidRPr="0032145B">
        <w:t>where the assessor does not meet experience requirements a co-assessment or partnership arrangemen</w:t>
      </w:r>
      <w:r w:rsidRPr="0032145B">
        <w:t>t must exist between the qualified assessor and an Industry subject matter expert. The Industry subject matter expert should hold the unit being assessed (or an equivalent unit) and/or demonstrate equivalence of skills and knowledge at the unit level. An I</w:t>
      </w:r>
      <w:r w:rsidRPr="0032145B">
        <w:t>ndustry technical expert must also demonstrate skills and knowledge from the minimum years of current work experience specified below in the Industry sector, including time spent in roles related to the unit being assessed; and,</w:t>
      </w:r>
    </w:p>
    <w:p w:rsidR="00000000" w:rsidRPr="0032145B" w:rsidP="0032145B">
      <w:pPr>
        <w:pStyle w:val="ListBullet"/>
      </w:pPr>
      <w:r w:rsidRPr="0032145B">
        <w:t>assessor and Industry subje</w:t>
      </w:r>
      <w:r w:rsidRPr="0032145B">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2145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145B">
            <w:pPr>
              <w:pStyle w:val="Heading4"/>
              <w:rPr>
                <w:lang w:val="en-NZ"/>
              </w:rPr>
            </w:pPr>
            <w:r w:rsidRPr="0032145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145B">
            <w:pPr>
              <w:pStyle w:val="Heading4"/>
              <w:rPr>
                <w:lang w:val="en-NZ"/>
              </w:rPr>
            </w:pPr>
            <w:r w:rsidRPr="0032145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145B">
            <w:pPr>
              <w:pStyle w:val="Heading4"/>
              <w:rPr>
                <w:lang w:val="en-NZ"/>
              </w:rPr>
            </w:pPr>
            <w:r w:rsidRPr="0032145B">
              <w:t>Required assessor or Industry subject matter expert experience</w:t>
            </w:r>
          </w:p>
        </w:tc>
      </w:tr>
      <w:tr w:rsidTr="0032145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145B">
            <w:pPr>
              <w:pStyle w:val="BodyText"/>
              <w:rPr>
                <w:lang w:val="en-NZ"/>
              </w:rPr>
            </w:pPr>
            <w:r w:rsidRPr="0032145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145B">
            <w:pPr>
              <w:pStyle w:val="BodyText"/>
              <w:rPr>
                <w:lang w:val="en-NZ"/>
              </w:rPr>
            </w:pPr>
            <w:r w:rsidRPr="0032145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145B">
            <w:pPr>
              <w:pStyle w:val="BodyText"/>
              <w:rPr>
                <w:lang w:val="en-NZ"/>
              </w:rPr>
            </w:pPr>
            <w:r w:rsidRPr="0032145B">
              <w:t>1 Year</w:t>
            </w:r>
          </w:p>
        </w:tc>
      </w:tr>
      <w:tr w:rsidTr="0032145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145B">
            <w:pPr>
              <w:pStyle w:val="BodyText"/>
              <w:rPr>
                <w:lang w:val="en-NZ"/>
              </w:rPr>
            </w:pPr>
            <w:r w:rsidRPr="0032145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145B">
            <w:pPr>
              <w:pStyle w:val="BodyText"/>
              <w:rPr>
                <w:lang w:val="en-NZ"/>
              </w:rPr>
            </w:pPr>
            <w:r w:rsidRPr="0032145B">
              <w:t>2 Years</w:t>
            </w:r>
          </w:p>
        </w:tc>
      </w:tr>
      <w:tr w:rsidTr="0032145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145B">
            <w:pPr>
              <w:pStyle w:val="BodyText"/>
              <w:rPr>
                <w:lang w:val="en-NZ"/>
              </w:rPr>
            </w:pPr>
            <w:r w:rsidRPr="0032145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145B">
            <w:pPr>
              <w:pStyle w:val="BodyText"/>
              <w:rPr>
                <w:lang w:val="en-NZ"/>
              </w:rPr>
            </w:pPr>
            <w:r w:rsidRPr="0032145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145B">
            <w:pPr>
              <w:pStyle w:val="BodyText"/>
              <w:rPr>
                <w:lang w:val="en-NZ"/>
              </w:rPr>
            </w:pPr>
            <w:r w:rsidRPr="0032145B">
              <w:t>3 Years</w:t>
            </w:r>
          </w:p>
        </w:tc>
      </w:tr>
      <w:tr w:rsidTr="0032145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145B">
            <w:pPr>
              <w:pStyle w:val="BodyText"/>
              <w:rPr>
                <w:lang w:val="en-NZ"/>
              </w:rPr>
            </w:pPr>
            <w:r w:rsidRPr="0032145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145B">
            <w:pPr>
              <w:pStyle w:val="BodyText"/>
              <w:rPr>
                <w:lang w:val="en-NZ"/>
              </w:rPr>
            </w:pPr>
            <w:r w:rsidRPr="0032145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145B">
            <w:pPr>
              <w:pStyle w:val="BodyText"/>
              <w:rPr>
                <w:lang w:val="en-NZ"/>
              </w:rPr>
            </w:pPr>
            <w:r w:rsidRPr="0032145B">
              <w:t>5 Years</w:t>
            </w:r>
          </w:p>
        </w:tc>
      </w:tr>
      <w:tr w:rsidTr="0032145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145B">
            <w:pPr>
              <w:pStyle w:val="BodyText"/>
              <w:rPr>
                <w:lang w:val="en-NZ"/>
              </w:rPr>
            </w:pPr>
            <w:r w:rsidRPr="0032145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2145B" w:rsidP="0032145B">
            <w:pPr>
              <w:pStyle w:val="BodyText"/>
            </w:pPr>
            <w:r w:rsidRPr="0032145B">
              <w:t>Where this Unit is being assessed outside of the Resources and Infrastructure Sectors assessor and/or Industry subject matter expert experience should be in-line with industry standards</w:t>
            </w:r>
            <w:r w:rsidRPr="0032145B">
              <w:t xml:space="preserve"> for the sector in which it is being assessed and where no Industry standard is specified should comply with any relevant regulation.</w:t>
            </w:r>
          </w:p>
        </w:tc>
      </w:tr>
    </w:tbl>
    <w:p w:rsidR="00000000" w:rsidRPr="0032145B" w:rsidP="0032145B">
      <w:pPr>
        <w:pStyle w:val="BodyText"/>
      </w:pPr>
      <w:r w:rsidRPr="0032145B">
        <w:t>*Assessors can demonstrat</w:t>
      </w:r>
      <w:r w:rsidRPr="0032145B">
        <w:t>e current work experience through employment within Industry in a role relevant to the outcomes of the Unit; or, for external assessors this can be demonstrated through exposure to Industry by conducting frequent site assessments across various locations.</w:t>
      </w:r>
    </w:p>
    <w:p w:rsidR="00000000" w:rsidRPr="0032145B" w:rsidP="0032145B">
      <w:pPr>
        <w:pStyle w:val="BodyText"/>
      </w:pPr>
      <w:r w:rsidRPr="0032145B">
        <w:t>**Where a unit is being delivered outside of a Qualification the first numeric character in the Unit code should be considered to indicate the AQF level</w:t>
      </w:r>
    </w:p>
    <w:p w:rsidR="00000000" w:rsidRPr="0032145B" w:rsidP="0032145B">
      <w:pPr>
        <w:pStyle w:val="AllowPageBreak"/>
      </w:pPr>
    </w:p>
    <w:p w:rsidR="00000000" w:rsidRPr="0032145B" w:rsidP="0032145B">
      <w:pPr>
        <w:pStyle w:val="Heading1"/>
      </w:pPr>
      <w:bookmarkStart w:id="5" w:name="O_690893"/>
      <w:bookmarkEnd w:id="5"/>
      <w:r w:rsidRPr="0032145B">
        <w:t>Links</w:t>
      </w:r>
    </w:p>
    <w:p w:rsidR="00000000" w:rsidRPr="0032145B" w:rsidP="0032145B">
      <w:pPr>
        <w:pStyle w:val="BodyText"/>
      </w:pPr>
      <w:r w:rsidRPr="0032145B">
        <w:t>SkillsDMC RII Companion Volumes - http://www.skillsdmc.com.au/</w:t>
      </w:r>
    </w:p>
    <w:p w:rsidR="00000000" w:rsidRPr="0032145B" w:rsidP="0032145B"/>
    <w:sectPr w:rsidSect="003214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4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45B" w:rsidRPr="004D4D08" w:rsidP="004D4D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4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D08" w:rsidP="003214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D4D08" w:rsidP="0032145B">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SkillsDMC</w:t>
    </w:r>
    <w:r>
      <w:fldChar w:fldCharType="end"/>
    </w:r>
  </w:p>
  <w:p w:rsidR="004D4D08" w:rsidP="003214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4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45B" w:rsidRPr="004D4D08" w:rsidP="004D4D0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4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D08" w:rsidRPr="002D2AF8" w:rsidP="0032145B">
    <w:pPr>
      <w:pStyle w:val="Header"/>
      <w:framePr w:wrap="around"/>
    </w:pPr>
    <w:r>
      <w:fldChar w:fldCharType="begin"/>
    </w:r>
    <w:r>
      <w:instrText xml:space="preserve"> TITLE   \* MERGEFORMAT </w:instrText>
    </w:r>
    <w:r>
      <w:fldChar w:fldCharType="separate"/>
    </w:r>
    <w:r>
      <w:t>Assessment Requirements for RIIOGD204D Perform rig floor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2014</w:t>
    </w:r>
    <w:r>
      <w:fldChar w:fldCharType="end"/>
    </w:r>
  </w:p>
  <w:p w:rsidR="004D4D08" w:rsidP="003214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1261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4C50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9244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4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145B"/>
    <w:pPr>
      <w:spacing w:before="360" w:after="60"/>
      <w:outlineLvl w:val="0"/>
    </w:pPr>
    <w:rPr>
      <w:sz w:val="32"/>
    </w:rPr>
  </w:style>
  <w:style w:type="paragraph" w:styleId="Heading2">
    <w:name w:val="heading 2"/>
    <w:basedOn w:val="HeadingBase"/>
    <w:next w:val="BodyText"/>
    <w:link w:val="Heading2Char"/>
    <w:qFormat/>
    <w:rsid w:val="0032145B"/>
    <w:pPr>
      <w:keepLines/>
      <w:spacing w:before="240" w:after="120"/>
      <w:outlineLvl w:val="1"/>
    </w:pPr>
    <w:rPr>
      <w:sz w:val="28"/>
      <w:szCs w:val="40"/>
    </w:rPr>
  </w:style>
  <w:style w:type="paragraph" w:styleId="Heading3">
    <w:name w:val="heading 3"/>
    <w:basedOn w:val="HeadingBase"/>
    <w:next w:val="BodyText"/>
    <w:link w:val="Heading3Char"/>
    <w:qFormat/>
    <w:rsid w:val="0032145B"/>
    <w:pPr>
      <w:spacing w:before="180" w:after="120"/>
      <w:outlineLvl w:val="2"/>
    </w:pPr>
    <w:rPr>
      <w:spacing w:val="-10"/>
      <w:kern w:val="32"/>
    </w:rPr>
  </w:style>
  <w:style w:type="paragraph" w:styleId="Heading4">
    <w:name w:val="heading 4"/>
    <w:basedOn w:val="HeadingBase"/>
    <w:next w:val="BodyText"/>
    <w:link w:val="Heading4Char"/>
    <w:qFormat/>
    <w:rsid w:val="0032145B"/>
    <w:pPr>
      <w:spacing w:before="160" w:after="120"/>
      <w:outlineLvl w:val="3"/>
    </w:pPr>
    <w:rPr>
      <w:sz w:val="22"/>
    </w:rPr>
  </w:style>
  <w:style w:type="paragraph" w:styleId="Heading5">
    <w:name w:val="heading 5"/>
    <w:basedOn w:val="HeadingBase"/>
    <w:next w:val="Normal"/>
    <w:link w:val="Heading5Char"/>
    <w:qFormat/>
    <w:rsid w:val="0032145B"/>
    <w:pPr>
      <w:spacing w:before="80"/>
      <w:outlineLvl w:val="4"/>
    </w:pPr>
    <w:rPr>
      <w:color w:val="918585"/>
      <w:sz w:val="20"/>
    </w:rPr>
  </w:style>
  <w:style w:type="paragraph" w:styleId="Heading6">
    <w:name w:val="heading 6"/>
    <w:basedOn w:val="HeadingBase"/>
    <w:next w:val="Normal"/>
    <w:link w:val="Heading6Char"/>
    <w:qFormat/>
    <w:rsid w:val="0032145B"/>
    <w:pPr>
      <w:spacing w:before="60"/>
      <w:outlineLvl w:val="5"/>
    </w:pPr>
    <w:rPr>
      <w:color w:val="918585"/>
      <w:sz w:val="20"/>
    </w:rPr>
  </w:style>
  <w:style w:type="paragraph" w:styleId="Heading7">
    <w:name w:val="heading 7"/>
    <w:basedOn w:val="Normal"/>
    <w:next w:val="Normal"/>
    <w:link w:val="Heading7Char"/>
    <w:qFormat/>
    <w:rsid w:val="0032145B"/>
    <w:pPr>
      <w:ind w:left="720"/>
      <w:outlineLvl w:val="6"/>
    </w:pPr>
    <w:rPr>
      <w:i/>
    </w:rPr>
  </w:style>
  <w:style w:type="paragraph" w:styleId="Heading8">
    <w:name w:val="heading 8"/>
    <w:basedOn w:val="Normal"/>
    <w:next w:val="Normal"/>
    <w:link w:val="Heading8Char"/>
    <w:qFormat/>
    <w:rsid w:val="0032145B"/>
    <w:pPr>
      <w:ind w:left="720"/>
      <w:outlineLvl w:val="7"/>
    </w:pPr>
    <w:rPr>
      <w:i/>
    </w:rPr>
  </w:style>
  <w:style w:type="paragraph" w:styleId="Heading9">
    <w:name w:val="heading 9"/>
    <w:basedOn w:val="Normal"/>
    <w:next w:val="Normal"/>
    <w:link w:val="Heading9Char"/>
    <w:qFormat/>
    <w:rsid w:val="0032145B"/>
    <w:pPr>
      <w:ind w:left="720"/>
      <w:outlineLvl w:val="8"/>
    </w:pPr>
    <w:rPr>
      <w:i/>
    </w:rPr>
  </w:style>
  <w:style w:type="character" w:default="1" w:styleId="DefaultParagraphFont">
    <w:name w:val="Default Paragraph Font"/>
    <w:uiPriority w:val="1"/>
    <w:unhideWhenUsed/>
    <w:rsid w:val="003214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145B"/>
  </w:style>
  <w:style w:type="character" w:customStyle="1" w:styleId="Heading1Char">
    <w:name w:val="Heading 1 Char"/>
    <w:basedOn w:val="DefaultParagraphFont"/>
    <w:link w:val="Heading1"/>
    <w:rsid w:val="0032145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2145B"/>
    <w:rPr>
      <w:rFonts w:ascii="Times New Roman" w:eastAsia="Times New Roman" w:hAnsi="Times New Roman" w:cs="Times New Roman"/>
      <w:b/>
      <w:szCs w:val="20"/>
      <w:lang w:eastAsia="en-US"/>
    </w:rPr>
  </w:style>
  <w:style w:type="paragraph" w:styleId="BodyText">
    <w:name w:val="Body Text"/>
    <w:basedOn w:val="Normal"/>
    <w:link w:val="BodyTextChar"/>
    <w:rsid w:val="003214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145B"/>
    <w:rPr>
      <w:rFonts w:ascii="Times New Roman" w:eastAsia="Times New Roman" w:hAnsi="Times New Roman" w:cs="Times New Roman"/>
      <w:sz w:val="24"/>
      <w:lang w:eastAsia="en-US"/>
    </w:rPr>
  </w:style>
  <w:style w:type="paragraph" w:styleId="ListBullet">
    <w:name w:val="List Bullet"/>
    <w:basedOn w:val="List"/>
    <w:rsid w:val="0032145B"/>
    <w:pPr>
      <w:numPr>
        <w:numId w:val="13"/>
      </w:numPr>
      <w:tabs>
        <w:tab w:val="clear" w:pos="340"/>
      </w:tabs>
      <w:spacing w:before="40" w:after="40"/>
    </w:pPr>
  </w:style>
  <w:style w:type="paragraph" w:styleId="ListBullet2">
    <w:name w:val="List Bullet 2"/>
    <w:basedOn w:val="List2"/>
    <w:rsid w:val="0032145B"/>
    <w:pPr>
      <w:numPr>
        <w:numId w:val="14"/>
      </w:numPr>
      <w:tabs>
        <w:tab w:val="clear" w:pos="680"/>
      </w:tabs>
    </w:pPr>
  </w:style>
  <w:style w:type="paragraph" w:customStyle="1" w:styleId="SuperHeading">
    <w:name w:val="SuperHeading"/>
    <w:basedOn w:val="Normal"/>
    <w:rsid w:val="0032145B"/>
    <w:pPr>
      <w:spacing w:before="240" w:after="120"/>
      <w:outlineLvl w:val="0"/>
    </w:pPr>
    <w:rPr>
      <w:rFonts w:ascii="Times New Roman" w:hAnsi="Times New Roman"/>
      <w:b/>
      <w:sz w:val="32"/>
    </w:rPr>
  </w:style>
  <w:style w:type="paragraph" w:customStyle="1" w:styleId="AllowPageBreak">
    <w:name w:val="AllowPageBreak"/>
    <w:rsid w:val="003214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14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145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214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14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14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14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145B"/>
    <w:rPr>
      <w:rFonts w:ascii="Courier New" w:eastAsia="Times New Roman" w:hAnsi="Courier New" w:cs="Times New Roman"/>
      <w:i/>
      <w:szCs w:val="20"/>
      <w:lang w:eastAsia="en-US"/>
    </w:rPr>
  </w:style>
  <w:style w:type="paragraph" w:customStyle="1" w:styleId="HeadingBase">
    <w:name w:val="Heading Base"/>
    <w:rsid w:val="003214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145B"/>
    <w:pPr>
      <w:tabs>
        <w:tab w:val="right" w:leader="dot" w:pos="9072"/>
      </w:tabs>
      <w:ind w:left="567"/>
    </w:pPr>
    <w:rPr>
      <w:szCs w:val="22"/>
    </w:rPr>
  </w:style>
  <w:style w:type="paragraph" w:customStyle="1" w:styleId="TOCBase">
    <w:name w:val="TOC Base"/>
    <w:rsid w:val="003214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145B"/>
    <w:pPr>
      <w:tabs>
        <w:tab w:val="right" w:leader="dot" w:pos="9072"/>
      </w:tabs>
      <w:spacing w:before="40" w:after="40"/>
      <w:ind w:left="284"/>
    </w:pPr>
    <w:rPr>
      <w:rFonts w:ascii="Times New Roman" w:hAnsi="Times New Roman"/>
    </w:rPr>
  </w:style>
  <w:style w:type="paragraph" w:styleId="TOC1">
    <w:name w:val="toc 1"/>
    <w:basedOn w:val="TOCBase"/>
    <w:next w:val="Normal"/>
    <w:rsid w:val="003214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14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145B"/>
    <w:rPr>
      <w:rFonts w:ascii="Times New Roman" w:eastAsia="Times New Roman" w:hAnsi="Times New Roman" w:cs="Times New Roman"/>
      <w:sz w:val="16"/>
      <w:lang w:eastAsia="en-US"/>
    </w:rPr>
  </w:style>
  <w:style w:type="paragraph" w:styleId="Title">
    <w:name w:val="Title"/>
    <w:basedOn w:val="HeadingBase"/>
    <w:link w:val="TitleChar"/>
    <w:qFormat/>
    <w:rsid w:val="0032145B"/>
    <w:pPr>
      <w:spacing w:before="5040"/>
      <w:jc w:val="center"/>
    </w:pPr>
    <w:rPr>
      <w:sz w:val="48"/>
      <w:szCs w:val="72"/>
      <w:lang w:val="en-US"/>
    </w:rPr>
  </w:style>
  <w:style w:type="character" w:customStyle="1" w:styleId="TitleChar">
    <w:name w:val="Title Char"/>
    <w:basedOn w:val="DefaultParagraphFont"/>
    <w:link w:val="Title"/>
    <w:rsid w:val="003214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145B"/>
    <w:pPr>
      <w:tabs>
        <w:tab w:val="left" w:pos="3600"/>
        <w:tab w:val="left" w:pos="3958"/>
      </w:tabs>
    </w:pPr>
  </w:style>
  <w:style w:type="paragraph" w:styleId="List">
    <w:name w:val="List"/>
    <w:basedOn w:val="BodyText"/>
    <w:next w:val="BodyText"/>
    <w:rsid w:val="0032145B"/>
    <w:pPr>
      <w:tabs>
        <w:tab w:val="left" w:pos="340"/>
      </w:tabs>
      <w:spacing w:before="60" w:after="60"/>
      <w:ind w:left="340" w:hanging="340"/>
    </w:pPr>
  </w:style>
  <w:style w:type="paragraph" w:customStyle="1" w:styleId="Note">
    <w:name w:val="Note"/>
    <w:basedOn w:val="BodyText"/>
    <w:rsid w:val="0032145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2145B"/>
    <w:rPr>
      <w:b/>
      <w:spacing w:val="0"/>
    </w:rPr>
  </w:style>
  <w:style w:type="paragraph" w:customStyle="1" w:styleId="SuperTitle">
    <w:name w:val="SuperTitle"/>
    <w:basedOn w:val="Title"/>
    <w:rsid w:val="0032145B"/>
    <w:pPr>
      <w:framePr w:wrap="auto" w:hAnchor="text" w:y="6049"/>
    </w:pPr>
    <w:rPr>
      <w:color w:val="000000"/>
      <w:sz w:val="40"/>
    </w:rPr>
  </w:style>
  <w:style w:type="paragraph" w:customStyle="1" w:styleId="TOCTitle">
    <w:name w:val="TOCTitle"/>
    <w:basedOn w:val="Heading1"/>
    <w:rsid w:val="0032145B"/>
    <w:pPr>
      <w:spacing w:after="240"/>
      <w:jc w:val="center"/>
      <w:outlineLvl w:val="9"/>
    </w:pPr>
    <w:rPr>
      <w:caps/>
    </w:rPr>
  </w:style>
  <w:style w:type="paragraph" w:customStyle="1" w:styleId="Version">
    <w:name w:val="Version"/>
    <w:rsid w:val="003214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145B"/>
    <w:pPr>
      <w:keepNext w:val="0"/>
      <w:tabs>
        <w:tab w:val="right" w:pos="4176"/>
      </w:tabs>
      <w:ind w:left="198" w:hanging="198"/>
    </w:pPr>
    <w:rPr>
      <w:rFonts w:ascii="Garamond" w:hAnsi="Garamond"/>
    </w:rPr>
  </w:style>
  <w:style w:type="paragraph" w:styleId="IndexHeading">
    <w:name w:val="index heading"/>
    <w:basedOn w:val="Normal"/>
    <w:next w:val="Index1"/>
    <w:semiHidden/>
    <w:rsid w:val="0032145B"/>
    <w:pPr>
      <w:spacing w:before="120" w:after="120"/>
    </w:pPr>
    <w:rPr>
      <w:rFonts w:ascii="Arial" w:hAnsi="Arial"/>
      <w:b/>
      <w:color w:val="918585"/>
      <w:sz w:val="24"/>
    </w:rPr>
  </w:style>
  <w:style w:type="paragraph" w:styleId="Header">
    <w:name w:val="header"/>
    <w:basedOn w:val="Normal"/>
    <w:link w:val="HeaderChar"/>
    <w:rsid w:val="003214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145B"/>
    <w:rPr>
      <w:rFonts w:ascii="Times New Roman" w:eastAsia="Times New Roman" w:hAnsi="Times New Roman" w:cs="Times New Roman"/>
      <w:sz w:val="16"/>
      <w:szCs w:val="20"/>
      <w:lang w:val="en-GB" w:eastAsia="en-US"/>
    </w:rPr>
  </w:style>
  <w:style w:type="paragraph" w:customStyle="1" w:styleId="Chapter">
    <w:name w:val="Chapter"/>
    <w:basedOn w:val="Normal"/>
    <w:rsid w:val="0032145B"/>
    <w:pPr>
      <w:spacing w:before="240"/>
    </w:pPr>
    <w:rPr>
      <w:rFonts w:ascii="Times New Roman" w:hAnsi="Times New Roman"/>
      <w:smallCaps/>
      <w:spacing w:val="80"/>
      <w:sz w:val="28"/>
    </w:rPr>
  </w:style>
  <w:style w:type="paragraph" w:customStyle="1" w:styleId="InChapter">
    <w:name w:val="InChapter"/>
    <w:basedOn w:val="Heading3"/>
    <w:rsid w:val="0032145B"/>
    <w:pPr>
      <w:spacing w:after="240"/>
      <w:outlineLvl w:val="9"/>
    </w:pPr>
    <w:rPr>
      <w:noProof/>
    </w:rPr>
  </w:style>
  <w:style w:type="paragraph" w:styleId="Index2">
    <w:name w:val="index 2"/>
    <w:basedOn w:val="Normal"/>
    <w:next w:val="Normal"/>
    <w:semiHidden/>
    <w:rsid w:val="0032145B"/>
    <w:pPr>
      <w:tabs>
        <w:tab w:val="right" w:pos="4176"/>
      </w:tabs>
      <w:ind w:left="568" w:hanging="284"/>
    </w:pPr>
    <w:rPr>
      <w:rFonts w:ascii="Garamond" w:hAnsi="Garamond"/>
    </w:rPr>
  </w:style>
  <w:style w:type="paragraph" w:customStyle="1" w:styleId="Byline">
    <w:name w:val="Byline"/>
    <w:rsid w:val="003214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145B"/>
    <w:pPr>
      <w:tabs>
        <w:tab w:val="clear" w:pos="3600"/>
        <w:tab w:val="clear" w:pos="3958"/>
      </w:tabs>
      <w:jc w:val="right"/>
    </w:pPr>
  </w:style>
  <w:style w:type="character" w:styleId="Emphasis">
    <w:name w:val="Emphasis"/>
    <w:basedOn w:val="DefaultParagraphFont"/>
    <w:qFormat/>
    <w:rsid w:val="0032145B"/>
    <w:rPr>
      <w:i/>
    </w:rPr>
  </w:style>
  <w:style w:type="paragraph" w:styleId="Caption">
    <w:name w:val="caption"/>
    <w:basedOn w:val="BodyText"/>
    <w:next w:val="Normal"/>
    <w:qFormat/>
    <w:rsid w:val="0032145B"/>
    <w:pPr>
      <w:framePr w:w="2268" w:hSpace="181" w:vSpace="181" w:wrap="around" w:vAnchor="text" w:hAnchor="page" w:x="1135" w:y="285" w:anchorLock="1"/>
    </w:pPr>
    <w:rPr>
      <w:i/>
    </w:rPr>
  </w:style>
  <w:style w:type="paragraph" w:customStyle="1" w:styleId="MiniTOCTitle">
    <w:name w:val="MiniTOCTitle"/>
    <w:basedOn w:val="Heading4"/>
    <w:rsid w:val="0032145B"/>
    <w:pPr>
      <w:spacing w:before="240"/>
      <w:outlineLvl w:val="9"/>
    </w:pPr>
    <w:rPr>
      <w:noProof/>
      <w:sz w:val="24"/>
    </w:rPr>
  </w:style>
  <w:style w:type="paragraph" w:customStyle="1" w:styleId="MiniTOCItem">
    <w:name w:val="MiniTOCItem"/>
    <w:basedOn w:val="ListBullet"/>
    <w:rsid w:val="0032145B"/>
    <w:pPr>
      <w:numPr>
        <w:numId w:val="0"/>
      </w:numPr>
      <w:tabs>
        <w:tab w:val="right" w:leader="dot" w:pos="6521"/>
      </w:tabs>
      <w:spacing w:before="0" w:after="0"/>
    </w:pPr>
  </w:style>
  <w:style w:type="paragraph" w:customStyle="1" w:styleId="TOFTitle">
    <w:name w:val="TOFTitle"/>
    <w:basedOn w:val="TOCTitle"/>
    <w:rsid w:val="0032145B"/>
  </w:style>
  <w:style w:type="paragraph" w:styleId="TableofFigures">
    <w:name w:val="table of figures"/>
    <w:basedOn w:val="Normal"/>
    <w:next w:val="Normal"/>
    <w:semiHidden/>
    <w:rsid w:val="0032145B"/>
    <w:pPr>
      <w:tabs>
        <w:tab w:val="right" w:leader="dot" w:pos="9072"/>
      </w:tabs>
      <w:ind w:left="970" w:hanging="403"/>
    </w:pPr>
    <w:rPr>
      <w:rFonts w:ascii="Times New Roman" w:hAnsi="Times New Roman"/>
      <w:b/>
    </w:rPr>
  </w:style>
  <w:style w:type="paragraph" w:styleId="ListNumber">
    <w:name w:val="List Number"/>
    <w:basedOn w:val="List"/>
    <w:rsid w:val="0032145B"/>
    <w:pPr>
      <w:numPr>
        <w:numId w:val="11"/>
      </w:numPr>
    </w:pPr>
  </w:style>
  <w:style w:type="character" w:customStyle="1" w:styleId="WingdingSymbols">
    <w:name w:val="Wingding Symbols"/>
    <w:rsid w:val="0032145B"/>
    <w:rPr>
      <w:rFonts w:ascii="Wingdings" w:hAnsi="Wingdings"/>
    </w:rPr>
  </w:style>
  <w:style w:type="paragraph" w:customStyle="1" w:styleId="TableHeading">
    <w:name w:val="Table Heading"/>
    <w:basedOn w:val="HeadingBase"/>
    <w:rsid w:val="0032145B"/>
    <w:pPr>
      <w:keepLines/>
      <w:pBdr>
        <w:bottom w:val="single" w:sz="6" w:space="1" w:color="918585"/>
      </w:pBdr>
      <w:spacing w:before="240"/>
    </w:pPr>
  </w:style>
  <w:style w:type="character" w:customStyle="1" w:styleId="HotSpot">
    <w:name w:val="HotSpot"/>
    <w:rsid w:val="0032145B"/>
    <w:rPr>
      <w:color w:val="0033CC"/>
      <w:u w:val="none"/>
    </w:rPr>
  </w:style>
  <w:style w:type="paragraph" w:customStyle="1" w:styleId="BodyTextRight">
    <w:name w:val="Body Text Right"/>
    <w:basedOn w:val="BodyText"/>
    <w:rsid w:val="0032145B"/>
    <w:pPr>
      <w:spacing w:before="0" w:after="0"/>
      <w:jc w:val="right"/>
    </w:pPr>
  </w:style>
  <w:style w:type="paragraph" w:styleId="Index3">
    <w:name w:val="index 3"/>
    <w:basedOn w:val="ListNumber2"/>
    <w:next w:val="Normal"/>
    <w:semiHidden/>
    <w:rsid w:val="0032145B"/>
    <w:pPr>
      <w:numPr>
        <w:numId w:val="0"/>
      </w:numPr>
      <w:tabs>
        <w:tab w:val="right" w:leader="dot" w:pos="4176"/>
      </w:tabs>
    </w:pPr>
  </w:style>
  <w:style w:type="paragraph" w:styleId="ListNumber2">
    <w:name w:val="List Number 2"/>
    <w:basedOn w:val="List2"/>
    <w:rsid w:val="0032145B"/>
    <w:pPr>
      <w:numPr>
        <w:numId w:val="10"/>
      </w:numPr>
      <w:tabs>
        <w:tab w:val="clear" w:pos="1060"/>
      </w:tabs>
    </w:pPr>
  </w:style>
  <w:style w:type="paragraph" w:customStyle="1" w:styleId="MarginNote">
    <w:name w:val="Margin Note"/>
    <w:basedOn w:val="BodyText"/>
    <w:rsid w:val="003214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14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14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145B"/>
    <w:rPr>
      <w:sz w:val="32"/>
    </w:rPr>
  </w:style>
  <w:style w:type="paragraph" w:customStyle="1" w:styleId="HeadingProcedure">
    <w:name w:val="Heading Procedure"/>
    <w:basedOn w:val="HeadingBase"/>
    <w:next w:val="Normal"/>
    <w:rsid w:val="0032145B"/>
    <w:pPr>
      <w:tabs>
        <w:tab w:val="left" w:pos="0"/>
      </w:tabs>
      <w:spacing w:before="120" w:after="60"/>
    </w:pPr>
    <w:rPr>
      <w:i/>
      <w:color w:val="918585"/>
      <w:sz w:val="22"/>
    </w:rPr>
  </w:style>
  <w:style w:type="paragraph" w:customStyle="1" w:styleId="TableBodyText">
    <w:name w:val="Table Body Text"/>
    <w:basedOn w:val="BodyText"/>
    <w:rsid w:val="0032145B"/>
    <w:pPr>
      <w:spacing w:before="60" w:after="60"/>
    </w:pPr>
  </w:style>
  <w:style w:type="paragraph" w:styleId="ListContinue">
    <w:name w:val="List Continue"/>
    <w:basedOn w:val="List"/>
    <w:rsid w:val="0032145B"/>
    <w:pPr>
      <w:ind w:firstLine="0"/>
    </w:pPr>
  </w:style>
  <w:style w:type="paragraph" w:customStyle="1" w:styleId="ListNote">
    <w:name w:val="List Note"/>
    <w:basedOn w:val="List"/>
    <w:rsid w:val="0032145B"/>
    <w:pPr>
      <w:pBdr>
        <w:top w:val="single" w:sz="6" w:space="2" w:color="918585"/>
        <w:bottom w:val="single" w:sz="6" w:space="2" w:color="918585"/>
      </w:pBdr>
      <w:tabs>
        <w:tab w:val="left" w:pos="1021"/>
      </w:tabs>
      <w:ind w:firstLine="0"/>
    </w:pPr>
  </w:style>
  <w:style w:type="paragraph" w:customStyle="1" w:styleId="Warning">
    <w:name w:val="Warning"/>
    <w:basedOn w:val="BodyText"/>
    <w:rsid w:val="0032145B"/>
    <w:pPr>
      <w:shd w:val="clear" w:color="auto" w:fill="D9D9D9"/>
      <w:tabs>
        <w:tab w:val="left" w:pos="992"/>
      </w:tabs>
      <w:ind w:left="119" w:right="119"/>
    </w:pPr>
    <w:rPr>
      <w:sz w:val="20"/>
    </w:rPr>
  </w:style>
  <w:style w:type="paragraph" w:customStyle="1" w:styleId="MarginIcons">
    <w:name w:val="Margin Icons"/>
    <w:basedOn w:val="BodyText"/>
    <w:rsid w:val="003214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145B"/>
    <w:rPr>
      <w:rFonts w:ascii="Courier New" w:hAnsi="Courier New"/>
    </w:rPr>
  </w:style>
  <w:style w:type="paragraph" w:customStyle="1" w:styleId="NoteBullet">
    <w:name w:val="Note Bullet"/>
    <w:basedOn w:val="Note"/>
    <w:rsid w:val="0032145B"/>
    <w:pPr>
      <w:tabs>
        <w:tab w:val="clear" w:pos="680"/>
      </w:tabs>
      <w:spacing w:before="60" w:after="60"/>
    </w:pPr>
  </w:style>
  <w:style w:type="paragraph" w:customStyle="1" w:styleId="SubHeading2">
    <w:name w:val="SubHeading2"/>
    <w:basedOn w:val="HeadingBase"/>
    <w:rsid w:val="0032145B"/>
    <w:pPr>
      <w:spacing w:before="240" w:after="60"/>
    </w:pPr>
    <w:rPr>
      <w:sz w:val="20"/>
    </w:rPr>
  </w:style>
  <w:style w:type="paragraph" w:customStyle="1" w:styleId="SubHeading1">
    <w:name w:val="SubHeading1"/>
    <w:basedOn w:val="HeadingBase"/>
    <w:rsid w:val="0032145B"/>
    <w:pPr>
      <w:spacing w:before="240" w:after="60"/>
    </w:pPr>
    <w:rPr>
      <w:color w:val="918585"/>
      <w:sz w:val="22"/>
    </w:rPr>
  </w:style>
  <w:style w:type="paragraph" w:customStyle="1" w:styleId="SideHeading">
    <w:name w:val="Side Heading"/>
    <w:basedOn w:val="HeadingBase"/>
    <w:rsid w:val="003214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145B"/>
    <w:pPr>
      <w:numPr>
        <w:numId w:val="12"/>
      </w:numPr>
    </w:pPr>
  </w:style>
  <w:style w:type="paragraph" w:styleId="PlainText">
    <w:name w:val="Plain Text"/>
    <w:basedOn w:val="Normal"/>
    <w:link w:val="PlainTextChar"/>
    <w:rsid w:val="0032145B"/>
    <w:rPr>
      <w:sz w:val="20"/>
    </w:rPr>
  </w:style>
  <w:style w:type="character" w:customStyle="1" w:styleId="PlainTextChar">
    <w:name w:val="Plain Text Char"/>
    <w:basedOn w:val="DefaultParagraphFont"/>
    <w:link w:val="PlainText"/>
    <w:rsid w:val="0032145B"/>
    <w:rPr>
      <w:rFonts w:ascii="Courier New" w:eastAsia="Times New Roman" w:hAnsi="Courier New" w:cs="Times New Roman"/>
      <w:sz w:val="20"/>
      <w:szCs w:val="20"/>
      <w:lang w:eastAsia="en-US"/>
    </w:rPr>
  </w:style>
  <w:style w:type="character" w:customStyle="1" w:styleId="MenuOption">
    <w:name w:val="Menu Option"/>
    <w:basedOn w:val="DefaultParagraphFont"/>
    <w:rsid w:val="0032145B"/>
    <w:rPr>
      <w:b/>
      <w:smallCaps/>
    </w:rPr>
  </w:style>
  <w:style w:type="paragraph" w:customStyle="1" w:styleId="TableListNumber">
    <w:name w:val="Table List Number"/>
    <w:basedOn w:val="ListNumber"/>
    <w:rsid w:val="0032145B"/>
    <w:pPr>
      <w:numPr>
        <w:numId w:val="0"/>
      </w:numPr>
    </w:pPr>
  </w:style>
  <w:style w:type="paragraph" w:styleId="TOC4">
    <w:name w:val="toc 4"/>
    <w:basedOn w:val="TOCBase"/>
    <w:next w:val="Normal"/>
    <w:semiHidden/>
    <w:rsid w:val="0032145B"/>
    <w:pPr>
      <w:tabs>
        <w:tab w:val="right" w:leader="dot" w:pos="9071"/>
      </w:tabs>
      <w:ind w:left="1701"/>
    </w:pPr>
  </w:style>
  <w:style w:type="paragraph" w:customStyle="1" w:styleId="ListAlpha">
    <w:name w:val="List Alpha"/>
    <w:basedOn w:val="List"/>
    <w:rsid w:val="0032145B"/>
    <w:pPr>
      <w:numPr>
        <w:numId w:val="9"/>
      </w:numPr>
    </w:pPr>
  </w:style>
  <w:style w:type="paragraph" w:customStyle="1" w:styleId="ListAlpha2">
    <w:name w:val="List Alpha 2"/>
    <w:basedOn w:val="List2"/>
    <w:rsid w:val="0032145B"/>
    <w:pPr>
      <w:numPr>
        <w:numId w:val="8"/>
      </w:numPr>
    </w:pPr>
  </w:style>
  <w:style w:type="paragraph" w:styleId="List2">
    <w:name w:val="List 2"/>
    <w:basedOn w:val="BodyText"/>
    <w:rsid w:val="0032145B"/>
    <w:pPr>
      <w:tabs>
        <w:tab w:val="left" w:pos="680"/>
      </w:tabs>
      <w:spacing w:before="60" w:after="60"/>
      <w:ind w:left="680" w:hanging="340"/>
    </w:pPr>
  </w:style>
  <w:style w:type="paragraph" w:styleId="List3">
    <w:name w:val="List 3"/>
    <w:basedOn w:val="BodyText"/>
    <w:rsid w:val="0032145B"/>
    <w:pPr>
      <w:tabs>
        <w:tab w:val="left" w:pos="1021"/>
      </w:tabs>
      <w:spacing w:before="60" w:after="60"/>
      <w:ind w:left="1020" w:hanging="340"/>
    </w:pPr>
  </w:style>
  <w:style w:type="paragraph" w:styleId="List4">
    <w:name w:val="List 4"/>
    <w:basedOn w:val="BodyText"/>
    <w:rsid w:val="0032145B"/>
    <w:pPr>
      <w:tabs>
        <w:tab w:val="left" w:pos="1361"/>
      </w:tabs>
      <w:spacing w:before="60" w:after="60"/>
      <w:ind w:left="1361" w:hanging="340"/>
    </w:pPr>
  </w:style>
  <w:style w:type="paragraph" w:styleId="List5">
    <w:name w:val="List 5"/>
    <w:basedOn w:val="BodyText"/>
    <w:rsid w:val="0032145B"/>
    <w:pPr>
      <w:tabs>
        <w:tab w:val="left" w:pos="1701"/>
      </w:tabs>
      <w:spacing w:before="60" w:after="60"/>
      <w:ind w:left="1701" w:hanging="340"/>
    </w:pPr>
  </w:style>
  <w:style w:type="paragraph" w:styleId="ListBullet3">
    <w:name w:val="List Bullet 3"/>
    <w:basedOn w:val="List3"/>
    <w:rsid w:val="0032145B"/>
    <w:pPr>
      <w:numPr>
        <w:numId w:val="15"/>
      </w:numPr>
      <w:tabs>
        <w:tab w:val="clear" w:pos="1021"/>
      </w:tabs>
      <w:ind w:left="1037" w:hanging="357"/>
    </w:pPr>
  </w:style>
  <w:style w:type="paragraph" w:styleId="ListBullet4">
    <w:name w:val="List Bullet 4"/>
    <w:basedOn w:val="List4"/>
    <w:rsid w:val="0032145B"/>
    <w:pPr>
      <w:numPr>
        <w:numId w:val="3"/>
      </w:numPr>
      <w:tabs>
        <w:tab w:val="clear" w:pos="1361"/>
      </w:tabs>
    </w:pPr>
  </w:style>
  <w:style w:type="paragraph" w:styleId="ListBullet5">
    <w:name w:val="List Bullet 5"/>
    <w:basedOn w:val="List5"/>
    <w:rsid w:val="0032145B"/>
    <w:pPr>
      <w:numPr>
        <w:numId w:val="4"/>
      </w:numPr>
    </w:pPr>
  </w:style>
  <w:style w:type="paragraph" w:styleId="ListContinue2">
    <w:name w:val="List Continue 2"/>
    <w:basedOn w:val="List2"/>
    <w:rsid w:val="0032145B"/>
    <w:pPr>
      <w:ind w:firstLine="0"/>
    </w:pPr>
  </w:style>
  <w:style w:type="paragraph" w:styleId="ListContinue3">
    <w:name w:val="List Continue 3"/>
    <w:basedOn w:val="List3"/>
    <w:rsid w:val="0032145B"/>
    <w:pPr>
      <w:ind w:left="1021" w:firstLine="0"/>
    </w:pPr>
  </w:style>
  <w:style w:type="paragraph" w:styleId="ListContinue4">
    <w:name w:val="List Continue 4"/>
    <w:basedOn w:val="List4"/>
    <w:rsid w:val="0032145B"/>
    <w:pPr>
      <w:ind w:firstLine="0"/>
    </w:pPr>
  </w:style>
  <w:style w:type="paragraph" w:styleId="ListContinue5">
    <w:name w:val="List Continue 5"/>
    <w:basedOn w:val="List5"/>
    <w:rsid w:val="0032145B"/>
    <w:pPr>
      <w:ind w:firstLine="0"/>
    </w:pPr>
  </w:style>
  <w:style w:type="paragraph" w:styleId="ListNumber3">
    <w:name w:val="List Number 3"/>
    <w:basedOn w:val="List3"/>
    <w:rsid w:val="0032145B"/>
    <w:pPr>
      <w:numPr>
        <w:numId w:val="5"/>
      </w:numPr>
    </w:pPr>
  </w:style>
  <w:style w:type="paragraph" w:styleId="ListNumber4">
    <w:name w:val="List Number 4"/>
    <w:basedOn w:val="List4"/>
    <w:rsid w:val="0032145B"/>
    <w:pPr>
      <w:numPr>
        <w:numId w:val="6"/>
      </w:numPr>
    </w:pPr>
  </w:style>
  <w:style w:type="paragraph" w:styleId="ListNumber5">
    <w:name w:val="List Number 5"/>
    <w:basedOn w:val="List5"/>
    <w:rsid w:val="0032145B"/>
    <w:pPr>
      <w:numPr>
        <w:numId w:val="7"/>
      </w:numPr>
    </w:pPr>
  </w:style>
  <w:style w:type="paragraph" w:styleId="BlockText">
    <w:name w:val="Block Text"/>
    <w:basedOn w:val="Normal"/>
    <w:rsid w:val="0032145B"/>
    <w:pPr>
      <w:spacing w:after="120"/>
      <w:ind w:left="1440" w:right="1440"/>
    </w:pPr>
  </w:style>
  <w:style w:type="character" w:customStyle="1" w:styleId="Subscript">
    <w:name w:val="Subscript"/>
    <w:basedOn w:val="DefaultParagraphFont"/>
    <w:rsid w:val="0032145B"/>
    <w:rPr>
      <w:sz w:val="16"/>
      <w:vertAlign w:val="subscript"/>
    </w:rPr>
  </w:style>
  <w:style w:type="character" w:customStyle="1" w:styleId="Superscript">
    <w:name w:val="Superscript"/>
    <w:basedOn w:val="DefaultParagraphFont"/>
    <w:rsid w:val="0032145B"/>
    <w:rPr>
      <w:sz w:val="16"/>
      <w:vertAlign w:val="superscript"/>
    </w:rPr>
  </w:style>
  <w:style w:type="character" w:customStyle="1" w:styleId="Symbols">
    <w:name w:val="Symbols"/>
    <w:basedOn w:val="DefaultParagraphFont"/>
    <w:rsid w:val="0032145B"/>
    <w:rPr>
      <w:rFonts w:ascii="Symbol" w:hAnsi="Symbol"/>
    </w:rPr>
  </w:style>
  <w:style w:type="character" w:customStyle="1" w:styleId="MenuOptions">
    <w:name w:val="Menu Options"/>
    <w:basedOn w:val="DefaultParagraphFont"/>
    <w:rsid w:val="0032145B"/>
    <w:rPr>
      <w:rFonts w:ascii="Arial Narrow" w:hAnsi="Arial Narrow"/>
      <w:smallCaps/>
    </w:rPr>
  </w:style>
  <w:style w:type="character" w:customStyle="1" w:styleId="Buttons">
    <w:name w:val="Buttons"/>
    <w:basedOn w:val="DefaultParagraphFont"/>
    <w:rsid w:val="0032145B"/>
    <w:rPr>
      <w:b/>
    </w:rPr>
  </w:style>
  <w:style w:type="character" w:customStyle="1" w:styleId="Underlined">
    <w:name w:val="Underlined"/>
    <w:basedOn w:val="DefaultParagraphFont"/>
    <w:rsid w:val="0032145B"/>
    <w:rPr>
      <w:u w:val="single"/>
    </w:rPr>
  </w:style>
  <w:style w:type="paragraph" w:customStyle="1" w:styleId="TableBodyTextRight">
    <w:name w:val="Table Body Text Right"/>
    <w:basedOn w:val="TableBodyText"/>
    <w:rsid w:val="0032145B"/>
    <w:pPr>
      <w:widowControl w:val="0"/>
      <w:autoSpaceDE w:val="0"/>
      <w:autoSpaceDN w:val="0"/>
      <w:adjustRightInd w:val="0"/>
      <w:jc w:val="right"/>
    </w:pPr>
    <w:rPr>
      <w:rFonts w:cs="Arial"/>
      <w:szCs w:val="18"/>
    </w:rPr>
  </w:style>
  <w:style w:type="paragraph" w:customStyle="1" w:styleId="CopyrightText">
    <w:name w:val="Copyright Text"/>
    <w:basedOn w:val="BodyText"/>
    <w:rsid w:val="0032145B"/>
    <w:rPr>
      <w:sz w:val="18"/>
    </w:rPr>
  </w:style>
  <w:style w:type="paragraph" w:customStyle="1" w:styleId="BodySmallRight">
    <w:name w:val="Body Small Right"/>
    <w:basedOn w:val="BodyTextRight"/>
    <w:rsid w:val="0032145B"/>
    <w:rPr>
      <w:sz w:val="18"/>
      <w:szCs w:val="18"/>
    </w:rPr>
  </w:style>
  <w:style w:type="paragraph" w:customStyle="1" w:styleId="MarginEdition">
    <w:name w:val="Margin Edition"/>
    <w:basedOn w:val="MarginNote"/>
    <w:rsid w:val="0032145B"/>
    <w:pPr>
      <w:spacing w:before="0" w:after="0"/>
    </w:pPr>
    <w:rPr>
      <w:rFonts w:ascii="Times New Roman" w:hAnsi="Times New Roman"/>
      <w:color w:val="999999"/>
    </w:rPr>
  </w:style>
  <w:style w:type="paragraph" w:customStyle="1" w:styleId="Spacer">
    <w:name w:val="Spacer"/>
    <w:basedOn w:val="Normal"/>
    <w:rsid w:val="0032145B"/>
    <w:rPr>
      <w:sz w:val="2"/>
      <w:szCs w:val="2"/>
    </w:rPr>
  </w:style>
  <w:style w:type="character" w:customStyle="1" w:styleId="Small">
    <w:name w:val="Small"/>
    <w:basedOn w:val="DefaultParagraphFont"/>
    <w:rsid w:val="0032145B"/>
    <w:rPr>
      <w:sz w:val="16"/>
    </w:rPr>
  </w:style>
  <w:style w:type="paragraph" w:customStyle="1" w:styleId="WideTable">
    <w:name w:val="Wide Table"/>
    <w:basedOn w:val="Normal"/>
    <w:rsid w:val="0032145B"/>
    <w:pPr>
      <w:ind w:left="-1418"/>
    </w:pPr>
    <w:rPr>
      <w:sz w:val="2"/>
      <w:szCs w:val="2"/>
    </w:rPr>
  </w:style>
  <w:style w:type="character" w:styleId="PageNumber">
    <w:name w:val="page number"/>
    <w:basedOn w:val="DefaultParagraphFont"/>
    <w:rsid w:val="0032145B"/>
  </w:style>
  <w:style w:type="paragraph" w:styleId="Quote">
    <w:name w:val="Quote"/>
    <w:basedOn w:val="Heading1"/>
    <w:link w:val="QuoteChar"/>
    <w:qFormat/>
    <w:rsid w:val="0032145B"/>
    <w:rPr>
      <w:b w:val="0"/>
      <w:sz w:val="72"/>
      <w:szCs w:val="72"/>
      <w:lang w:val="en-NZ"/>
    </w:rPr>
  </w:style>
  <w:style w:type="character" w:customStyle="1" w:styleId="QuoteChar">
    <w:name w:val="Quote Char"/>
    <w:basedOn w:val="DefaultParagraphFont"/>
    <w:link w:val="Quote"/>
    <w:rsid w:val="003214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145B"/>
    <w:pPr>
      <w:pageBreakBefore/>
    </w:pPr>
  </w:style>
  <w:style w:type="paragraph" w:customStyle="1" w:styleId="Border">
    <w:name w:val="Border"/>
    <w:basedOn w:val="Normal"/>
    <w:qFormat/>
    <w:rsid w:val="003214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145B"/>
    <w:rPr>
      <w:b/>
      <w:bCs/>
      <w:i/>
      <w:iCs/>
      <w:color w:val="auto"/>
    </w:rPr>
  </w:style>
  <w:style w:type="paragraph" w:styleId="IntenseQuote">
    <w:name w:val="Intense Quote"/>
    <w:basedOn w:val="Normal"/>
    <w:next w:val="Normal"/>
    <w:link w:val="IntenseQuoteChar"/>
    <w:uiPriority w:val="30"/>
    <w:qFormat/>
    <w:rsid w:val="003214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14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145B"/>
    <w:rPr>
      <w:smallCaps/>
      <w:color w:val="auto"/>
      <w:u w:val="single"/>
    </w:rPr>
  </w:style>
  <w:style w:type="character" w:styleId="IntenseReference">
    <w:name w:val="Intense Reference"/>
    <w:basedOn w:val="DefaultParagraphFont"/>
    <w:uiPriority w:val="32"/>
    <w:qFormat/>
    <w:rsid w:val="0032145B"/>
    <w:rPr>
      <w:b/>
      <w:bCs/>
      <w:smallCaps/>
      <w:color w:val="auto"/>
      <w:spacing w:val="5"/>
      <w:u w:val="single"/>
    </w:rPr>
  </w:style>
  <w:style w:type="paragraph" w:customStyle="1" w:styleId="2ColumnHeading">
    <w:name w:val="2Column Heading"/>
    <w:basedOn w:val="BodyText"/>
    <w:qFormat/>
    <w:rsid w:val="0032145B"/>
    <w:pPr>
      <w:spacing w:after="60"/>
      <w:ind w:left="-2268"/>
    </w:pPr>
    <w:rPr>
      <w:b/>
    </w:rPr>
  </w:style>
  <w:style w:type="paragraph" w:customStyle="1" w:styleId="Heading1TOC">
    <w:name w:val="Heading1 TOC"/>
    <w:basedOn w:val="Normal"/>
    <w:qFormat/>
    <w:rsid w:val="0032145B"/>
    <w:pPr>
      <w:spacing w:before="240" w:after="120"/>
    </w:pPr>
    <w:rPr>
      <w:rFonts w:ascii="Times New Roman" w:hAnsi="Times New Roman"/>
      <w:b/>
      <w:sz w:val="32"/>
    </w:rPr>
  </w:style>
  <w:style w:type="paragraph" w:customStyle="1" w:styleId="Heading2TOC">
    <w:name w:val="Heading2 TOC"/>
    <w:basedOn w:val="Normal"/>
    <w:qFormat/>
    <w:rsid w:val="0032145B"/>
    <w:pPr>
      <w:spacing w:before="240" w:after="60"/>
    </w:pPr>
    <w:rPr>
      <w:rFonts w:ascii="Times New Roman" w:hAnsi="Times New Roman"/>
      <w:b/>
      <w:sz w:val="28"/>
    </w:rPr>
  </w:style>
  <w:style w:type="character" w:customStyle="1" w:styleId="Underline">
    <w:name w:val="Underline"/>
    <w:basedOn w:val="DefaultParagraphFont"/>
    <w:qFormat/>
    <w:rsid w:val="0032145B"/>
    <w:rPr>
      <w:u w:val="single"/>
    </w:rPr>
  </w:style>
  <w:style w:type="character" w:customStyle="1" w:styleId="BoldandItalics">
    <w:name w:val="Bold and Italics"/>
    <w:qFormat/>
    <w:rsid w:val="0032145B"/>
    <w:rPr>
      <w:b/>
      <w:i/>
      <w:u w:val="none"/>
    </w:rPr>
  </w:style>
  <w:style w:type="paragraph" w:styleId="BalloonText">
    <w:name w:val="Balloon Text"/>
    <w:basedOn w:val="Normal"/>
    <w:link w:val="BalloonTextChar"/>
    <w:rsid w:val="0032145B"/>
    <w:rPr>
      <w:rFonts w:ascii="Tahoma" w:hAnsi="Tahoma" w:cs="Tahoma"/>
      <w:sz w:val="16"/>
      <w:szCs w:val="16"/>
    </w:rPr>
  </w:style>
  <w:style w:type="character" w:customStyle="1" w:styleId="BalloonTextChar">
    <w:name w:val="Balloon Text Char"/>
    <w:basedOn w:val="DefaultParagraphFont"/>
    <w:link w:val="BalloonText"/>
    <w:rsid w:val="003214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14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14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145B"/>
    <w:rPr>
      <w:b/>
      <w:color w:val="660033"/>
      <w:spacing w:val="0"/>
    </w:rPr>
  </w:style>
  <w:style w:type="paragraph" w:customStyle="1" w:styleId="Nameditemlist">
    <w:name w:val="Named item list"/>
    <w:basedOn w:val="BodyText"/>
    <w:qFormat/>
    <w:rsid w:val="0032145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849</Words>
  <Characters>5201</Characters>
  <Application>Microsoft Office Word</Application>
  <DocSecurity>0</DocSecurity>
  <Lines>132</Lines>
  <Paragraphs>80</Paragraphs>
  <ScaleCrop>false</ScaleCrop>
  <Company>Author-it Software Corporation Ltd.</Company>
  <LinksUpToDate>false</LinksUpToDate>
  <CharactersWithSpaces>6018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RIIOGD204D Perform rig floor operations</dc:title>
  <dc:subject>Approved</dc:subject>
  <dc:creator>SkillsDMC</dc:creator>
  <cp:keywords>Release: 2</cp:keywords>
  <dc:description>Review Date: 12 April 2008</dc:description>
  <cp:lastModifiedBy>HSD_TPCMSd.prod</cp:lastModifiedBy>
  <cp:revision>3</cp:revision>
  <dcterms:created xsi:type="dcterms:W3CDTF">2014-12-07T03:28:00Z</dcterms:created>
  <dcterms:modified xsi:type="dcterms:W3CDTF">2014-12-07T03:28:00Z</dcterms:modified>
</cp:coreProperties>
</file>