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A6D" w:rsidP="00FA1A6D">
      <w:pPr>
        <w:pStyle w:val="Title"/>
      </w:pPr>
      <w:r>
        <w:fldChar w:fldCharType="begin"/>
      </w:r>
      <w:r>
        <w:instrText xml:space="preserve"> TITLE   \* MERGEFORMAT </w:instrText>
      </w:r>
      <w:r>
        <w:fldChar w:fldCharType="separate"/>
      </w:r>
      <w:r>
        <w:t>Assessment Requirements for RIINHB412D Construct geothermal wells</w:t>
      </w:r>
      <w:r>
        <w:fldChar w:fldCharType="end"/>
      </w:r>
    </w:p>
    <w:p w:rsidR="00FA1A6D" w:rsidP="00FA1A6D">
      <w:pPr>
        <w:pStyle w:val="Version"/>
        <w:sectPr w:rsidSect="00A835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3540" w:rsidP="00A83540">
      <w:pPr>
        <w:pStyle w:val="SuperHeading"/>
      </w:pPr>
      <w:r w:rsidRPr="00A83540">
        <w:t>Assessment Requirements for RIINHB412D Construct geothermal wells</w:t>
      </w:r>
    </w:p>
    <w:p w:rsidR="00000000" w:rsidRPr="00A83540" w:rsidP="00A83540">
      <w:pPr>
        <w:pStyle w:val="Heading1"/>
      </w:pPr>
      <w:bookmarkStart w:id="1" w:name="O_690715"/>
      <w:bookmarkEnd w:id="1"/>
      <w:r w:rsidRPr="00A83540">
        <w:t>Modification History</w:t>
      </w:r>
    </w:p>
    <w:tbl>
      <w:tblPr>
        <w:tblW w:w="0" w:type="auto"/>
        <w:tblCellMar>
          <w:left w:w="62" w:type="dxa"/>
          <w:right w:w="62" w:type="dxa"/>
        </w:tblCellMar>
        <w:tblLook w:val="0000"/>
      </w:tblPr>
      <w:tblGrid>
        <w:gridCol w:w="1107"/>
        <w:gridCol w:w="8089"/>
      </w:tblGrid>
      <w:tr w:rsidTr="00FA1A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40">
            <w:pPr>
              <w:pStyle w:val="Heading4"/>
              <w:rPr>
                <w:lang w:val="en-NZ"/>
              </w:rPr>
            </w:pPr>
            <w:r w:rsidRPr="00A8354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40">
            <w:pPr>
              <w:pStyle w:val="Heading4"/>
              <w:rPr>
                <w:lang w:val="en-NZ"/>
              </w:rPr>
            </w:pPr>
            <w:r w:rsidRPr="00A83540">
              <w:t>Comment</w:t>
            </w:r>
          </w:p>
        </w:tc>
      </w:tr>
      <w:tr w:rsidTr="00FA1A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40">
            <w:pPr>
              <w:pStyle w:val="BodyText"/>
              <w:rPr>
                <w:lang w:val="en-NZ"/>
              </w:rPr>
            </w:pPr>
            <w:r w:rsidRPr="00A8354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40">
            <w:pPr>
              <w:pStyle w:val="BodyText"/>
              <w:rPr>
                <w:lang w:val="en-NZ"/>
              </w:rPr>
            </w:pPr>
            <w:r w:rsidRPr="00A83540">
              <w:t>This unit replaces RIINHB412B Construct geothermal wells</w:t>
            </w:r>
          </w:p>
        </w:tc>
      </w:tr>
      <w:tr w:rsidTr="00FA1A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540">
            <w:pPr>
              <w:pStyle w:val="BodyText"/>
              <w:rPr>
                <w:lang w:val="en-NZ"/>
              </w:rPr>
            </w:pPr>
            <w:r w:rsidRPr="00A8354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540" w:rsidP="00A83540">
            <w:pPr>
              <w:pStyle w:val="BodyText"/>
            </w:pPr>
            <w:r w:rsidRPr="00A83540">
              <w:t>Required frequency and volume of evidence amended in Performance evidence.</w:t>
            </w:r>
          </w:p>
          <w:p w:rsidR="00000000" w:rsidRPr="00A83540" w:rsidP="00A83540">
            <w:pPr>
              <w:pStyle w:val="BodyText"/>
            </w:pPr>
            <w:r w:rsidRPr="00A83540">
              <w:t>Substantial amendments made in Assessment Conditions field, including: references to Industry Sectors, assessor and subject matter expert experience requirements, how assessment sho</w:t>
            </w:r>
            <w:r w:rsidRPr="00A83540">
              <w:t>uld be conducted and what it should confirm.</w:t>
            </w:r>
          </w:p>
        </w:tc>
      </w:tr>
    </w:tbl>
    <w:p w:rsidR="00000000" w:rsidRPr="00A83540" w:rsidP="00A83540">
      <w:pPr>
        <w:pStyle w:val="BodyText"/>
      </w:pPr>
    </w:p>
    <w:p w:rsidR="00000000" w:rsidRPr="00A83540" w:rsidP="00A83540">
      <w:pPr>
        <w:pStyle w:val="AllowPageBreak"/>
      </w:pPr>
    </w:p>
    <w:p w:rsidR="00000000" w:rsidRPr="00A83540" w:rsidP="00A83540">
      <w:pPr>
        <w:pStyle w:val="Heading1"/>
      </w:pPr>
      <w:bookmarkStart w:id="2" w:name="O_690714"/>
      <w:bookmarkEnd w:id="2"/>
      <w:r w:rsidRPr="00A83540">
        <w:t>Performance Evidence</w:t>
      </w:r>
    </w:p>
    <w:p w:rsidR="00000000" w:rsidRPr="00A83540" w:rsidP="00FA1A6D">
      <w:pPr>
        <w:pStyle w:val="BodyText"/>
      </w:pPr>
      <w:r w:rsidRPr="00A83540">
        <w:t>Evidence is required to be collected that demonstrates a candidate’s competency in this unit. Evidence must be relevant to the roles within this sector’s work operations a</w:t>
      </w:r>
      <w:r w:rsidRPr="00A83540">
        <w:t>nd satisfy all of the requirements of the performance criteria of this unit and include evidence that the candidate:</w:t>
      </w:r>
    </w:p>
    <w:p w:rsidR="00000000" w:rsidRPr="00A83540" w:rsidP="00A83540">
      <w:pPr>
        <w:pStyle w:val="ListBullet2"/>
      </w:pPr>
      <w:r w:rsidRPr="00A83540">
        <w:t>locates and applies relevant legislation, documentation, policies and procedures</w:t>
      </w:r>
    </w:p>
    <w:p w:rsidR="00000000" w:rsidRPr="00A83540" w:rsidP="00A83540">
      <w:pPr>
        <w:pStyle w:val="ListBullet2"/>
      </w:pPr>
      <w:r w:rsidRPr="00A83540">
        <w:t>works effectively with others to plan, prepare and conduct the construction of geothermal wells including:</w:t>
      </w:r>
    </w:p>
    <w:p w:rsidR="00000000" w:rsidRPr="00A83540" w:rsidP="00A83540">
      <w:pPr>
        <w:pStyle w:val="ListBullet3"/>
      </w:pPr>
      <w:r w:rsidRPr="00A83540">
        <w:t>communicating clear and timely instructions to those involved</w:t>
      </w:r>
    </w:p>
    <w:p w:rsidR="00000000" w:rsidRPr="00A83540" w:rsidP="00A83540">
      <w:pPr>
        <w:pStyle w:val="ListBullet3"/>
      </w:pPr>
      <w:r w:rsidRPr="00A83540">
        <w:t>preparing for and conducting briefings, toolbox and site meetings</w:t>
      </w:r>
    </w:p>
    <w:p w:rsidR="00000000" w:rsidRPr="00A83540" w:rsidP="00A83540">
      <w:pPr>
        <w:pStyle w:val="ListBullet3"/>
      </w:pPr>
      <w:r w:rsidRPr="00A83540">
        <w:t>maintaining clear an</w:t>
      </w:r>
      <w:r w:rsidRPr="00A83540">
        <w:t>d legible written records and the reports</w:t>
      </w:r>
    </w:p>
    <w:p w:rsidR="00000000" w:rsidRPr="00A83540" w:rsidP="00A83540">
      <w:pPr>
        <w:pStyle w:val="ListBullet"/>
      </w:pPr>
      <w:r w:rsidRPr="00A83540">
        <w:t>demonstrates completion of the construction of geothermal wells that safely, effectively and efficiently meets all of the required outcomes on more than one (1) occasion including:</w:t>
      </w:r>
    </w:p>
    <w:p w:rsidR="00000000" w:rsidRPr="00A83540" w:rsidP="00A83540">
      <w:pPr>
        <w:pStyle w:val="ListBullet3"/>
      </w:pPr>
      <w:r w:rsidRPr="00A83540">
        <w:t>determining most appropriate co</w:t>
      </w:r>
      <w:r w:rsidRPr="00A83540">
        <w:t xml:space="preserve">nstruction methods from the reading and interpretation of all available documented information and local geographic/geological knowledge </w:t>
      </w:r>
    </w:p>
    <w:p w:rsidR="00000000" w:rsidRPr="00A83540" w:rsidP="00A83540">
      <w:pPr>
        <w:pStyle w:val="ListBullet3"/>
      </w:pPr>
      <w:r w:rsidRPr="00A83540">
        <w:t>selecting appropriate bore/surface casing for the anticipated ground conditions and construction techniques</w:t>
      </w:r>
    </w:p>
    <w:p w:rsidR="00000000" w:rsidRPr="00A83540" w:rsidP="00A83540">
      <w:pPr>
        <w:pStyle w:val="ListBullet3"/>
      </w:pPr>
      <w:r w:rsidRPr="00A83540">
        <w:t>completing grouting operations to seal intermediate and/or production casing strings or to seal selected zones</w:t>
      </w:r>
    </w:p>
    <w:p w:rsidR="00000000" w:rsidRPr="00A83540" w:rsidP="00A83540">
      <w:pPr>
        <w:pStyle w:val="ListBullet3"/>
      </w:pPr>
      <w:r w:rsidRPr="00A83540">
        <w:t>maintaining plumbness and alignment of the hole within the required limitations</w:t>
      </w:r>
    </w:p>
    <w:p w:rsidR="00000000" w:rsidRPr="00A83540" w:rsidP="00A83540">
      <w:pPr>
        <w:pStyle w:val="ListBullet3"/>
      </w:pPr>
      <w:r w:rsidRPr="00A83540">
        <w:t>using development techniques to prevent collapsing of casing or b</w:t>
      </w:r>
      <w:r w:rsidRPr="00A83540">
        <w:t xml:space="preserve">low outs </w:t>
      </w:r>
    </w:p>
    <w:p w:rsidR="00000000" w:rsidRPr="00A83540" w:rsidP="00A83540">
      <w:pPr>
        <w:pStyle w:val="ListBullet3"/>
      </w:pPr>
      <w:r w:rsidRPr="00A83540">
        <w:t>carrying out the decommissioning (abandonment) of test holes or wells in geothermal systems</w:t>
      </w:r>
    </w:p>
    <w:p w:rsidR="00000000" w:rsidRPr="00A83540" w:rsidP="00A83540">
      <w:pPr>
        <w:pStyle w:val="AllowPageBreak"/>
      </w:pPr>
    </w:p>
    <w:p w:rsidR="00000000" w:rsidRPr="00A83540" w:rsidP="00A83540">
      <w:pPr>
        <w:pStyle w:val="Heading1"/>
      </w:pPr>
      <w:bookmarkStart w:id="3" w:name="O_690713"/>
      <w:bookmarkEnd w:id="3"/>
      <w:r w:rsidRPr="00A83540">
        <w:t>Knowledge Evidence</w:t>
      </w:r>
    </w:p>
    <w:p w:rsidR="00000000" w:rsidRPr="00A83540" w:rsidP="00FA1A6D">
      <w:pPr>
        <w:pStyle w:val="BodyText"/>
      </w:pPr>
      <w:r w:rsidRPr="00A83540">
        <w:t>The candidate must demonstrate knowledge in, when constructing geothermal wells through:</w:t>
      </w:r>
    </w:p>
    <w:p w:rsidR="00000000" w:rsidRPr="00A83540" w:rsidP="00A83540">
      <w:pPr>
        <w:pStyle w:val="ListBullet3"/>
      </w:pPr>
      <w:r w:rsidRPr="00A83540">
        <w:t>work, health and safety</w:t>
      </w:r>
    </w:p>
    <w:p w:rsidR="00000000" w:rsidRPr="00A83540" w:rsidP="00A83540">
      <w:pPr>
        <w:pStyle w:val="ListBullet3"/>
      </w:pPr>
      <w:r w:rsidRPr="00A83540">
        <w:t>envi</w:t>
      </w:r>
      <w:r w:rsidRPr="00A83540">
        <w:t>ronmental issues</w:t>
      </w:r>
    </w:p>
    <w:p w:rsidR="00000000" w:rsidRPr="00A83540" w:rsidP="00A83540">
      <w:pPr>
        <w:pStyle w:val="ListBullet3"/>
      </w:pPr>
      <w:r w:rsidRPr="00A83540">
        <w:t>operating drill rig</w:t>
      </w:r>
    </w:p>
    <w:p w:rsidR="00000000" w:rsidRPr="00A83540" w:rsidP="00A83540">
      <w:pPr>
        <w:pStyle w:val="ListBullet3"/>
      </w:pPr>
      <w:r w:rsidRPr="00A83540">
        <w:t>housekeeping</w:t>
      </w:r>
    </w:p>
    <w:p w:rsidR="00000000" w:rsidRPr="00A83540" w:rsidP="00A83540">
      <w:pPr>
        <w:pStyle w:val="ListBullet2"/>
      </w:pPr>
      <w:r w:rsidRPr="00A83540">
        <w:t>the equipment characteristics, technical capabilities and limitations</w:t>
      </w:r>
    </w:p>
    <w:p w:rsidR="00000000" w:rsidRPr="00A83540" w:rsidP="00A83540">
      <w:pPr>
        <w:pStyle w:val="ListBullet2"/>
      </w:pPr>
      <w:r w:rsidRPr="00A83540">
        <w:t>the basic geological formations, i.e. basic knowledge of both soil and rock classifications and various formations which permit groundwater movement and factors affecting groundwater quality for aquifer systems, including drillability and stability</w:t>
      </w:r>
    </w:p>
    <w:p w:rsidR="00000000" w:rsidRPr="00A83540" w:rsidP="00A83540">
      <w:pPr>
        <w:pStyle w:val="ListBullet2"/>
      </w:pPr>
      <w:r w:rsidRPr="00A83540">
        <w:t>potenti</w:t>
      </w:r>
      <w:r w:rsidRPr="00A83540">
        <w:t>al safety hazards and sources of contamination when siting a well</w:t>
      </w:r>
    </w:p>
    <w:p w:rsidR="00000000" w:rsidRPr="00A83540" w:rsidP="00A83540">
      <w:pPr>
        <w:pStyle w:val="ListBullet2"/>
      </w:pPr>
      <w:r w:rsidRPr="00A83540">
        <w:t>the necessity of having a signed agreement/contract with the client</w:t>
      </w:r>
    </w:p>
    <w:p w:rsidR="00000000" w:rsidRPr="00A83540" w:rsidP="00A83540">
      <w:pPr>
        <w:pStyle w:val="ListBullet2"/>
      </w:pPr>
      <w:r w:rsidRPr="00A83540">
        <w:t>applying Blow Out Prevention procedures and techniques</w:t>
      </w:r>
    </w:p>
    <w:p w:rsidR="00000000" w:rsidRPr="00A83540" w:rsidP="00A83540">
      <w:pPr>
        <w:pStyle w:val="ListBullet2"/>
      </w:pPr>
      <w:r w:rsidRPr="00A83540">
        <w:t>appropriate casing materials for various applications</w:t>
      </w:r>
    </w:p>
    <w:p w:rsidR="00000000" w:rsidRPr="00A83540" w:rsidP="00A83540">
      <w:pPr>
        <w:pStyle w:val="ListBullet2"/>
      </w:pPr>
      <w:r w:rsidRPr="00A83540">
        <w:t>managing hole</w:t>
      </w:r>
      <w:r w:rsidRPr="00A83540">
        <w:t xml:space="preserve"> preparation for cementing (grouting) operations</w:t>
      </w:r>
    </w:p>
    <w:p w:rsidR="00000000" w:rsidRPr="00A83540" w:rsidP="00A83540">
      <w:pPr>
        <w:pStyle w:val="ListBullet2"/>
      </w:pPr>
      <w:r w:rsidRPr="00A83540">
        <w:t>effects of various cement (grout) additives</w:t>
      </w:r>
    </w:p>
    <w:p w:rsidR="00000000" w:rsidRPr="00A83540" w:rsidP="00A83540">
      <w:pPr>
        <w:pStyle w:val="ListBullet2"/>
      </w:pPr>
      <w:r w:rsidRPr="00A83540">
        <w:t>using pressure cementing methods</w:t>
      </w:r>
    </w:p>
    <w:p w:rsidR="00000000" w:rsidRPr="00A83540" w:rsidP="00A83540">
      <w:pPr>
        <w:pStyle w:val="ListBullet2"/>
      </w:pPr>
      <w:r w:rsidRPr="00A83540">
        <w:t>casing collapse characteristics</w:t>
      </w:r>
    </w:p>
    <w:p w:rsidR="00000000" w:rsidRPr="00A83540" w:rsidP="00A83540">
      <w:pPr>
        <w:pStyle w:val="ListBullet2"/>
      </w:pPr>
      <w:r w:rsidRPr="00A83540">
        <w:t>applying appropriate headworks design for geothermal well applications</w:t>
      </w:r>
    </w:p>
    <w:p w:rsidR="00000000" w:rsidRPr="00A83540" w:rsidP="00A83540">
      <w:pPr>
        <w:pStyle w:val="ListBullet2"/>
      </w:pPr>
      <w:r w:rsidRPr="00A83540">
        <w:t>types of drilling fluids</w:t>
      </w:r>
    </w:p>
    <w:p w:rsidR="00000000" w:rsidRPr="00A83540" w:rsidP="00A83540">
      <w:pPr>
        <w:pStyle w:val="ListBullet2"/>
      </w:pPr>
      <w:r w:rsidRPr="00A83540">
        <w:t>us</w:t>
      </w:r>
      <w:r w:rsidRPr="00A83540">
        <w:t>ing grout placement methods and procedures</w:t>
      </w:r>
    </w:p>
    <w:p w:rsidR="00000000" w:rsidRPr="00A83540" w:rsidP="00A83540">
      <w:pPr>
        <w:pStyle w:val="ListBullet2"/>
      </w:pPr>
      <w:r w:rsidRPr="00A83540">
        <w:t>applying a range of numerical calculations including:</w:t>
      </w:r>
    </w:p>
    <w:p w:rsidR="00000000" w:rsidRPr="00A83540" w:rsidP="00A83540">
      <w:pPr>
        <w:pStyle w:val="ListBullet3"/>
      </w:pPr>
      <w:r w:rsidRPr="00A83540">
        <w:t>volume (e.g. mud pits, drums, tanks or wells of given dimensions)</w:t>
      </w:r>
    </w:p>
    <w:p w:rsidR="00000000" w:rsidRPr="00A83540" w:rsidP="00A83540">
      <w:pPr>
        <w:pStyle w:val="ListBullet3"/>
      </w:pPr>
      <w:r w:rsidRPr="00A83540">
        <w:t>up hole velocity</w:t>
      </w:r>
    </w:p>
    <w:p w:rsidR="00000000" w:rsidRPr="00A83540" w:rsidP="00A83540">
      <w:pPr>
        <w:pStyle w:val="ListBullet3"/>
      </w:pPr>
      <w:r w:rsidRPr="00A83540">
        <w:t>cement/water/additives quantities</w:t>
      </w:r>
    </w:p>
    <w:p w:rsidR="00000000" w:rsidRPr="00A83540" w:rsidP="00A83540">
      <w:pPr>
        <w:pStyle w:val="ListBullet3"/>
      </w:pPr>
      <w:r w:rsidRPr="00A83540">
        <w:t>flow rates (e.g. L/sec, GPM)</w:t>
      </w:r>
    </w:p>
    <w:p w:rsidR="00000000" w:rsidRPr="00A83540" w:rsidP="00A83540">
      <w:pPr>
        <w:pStyle w:val="ListBullet3"/>
      </w:pPr>
      <w:r w:rsidRPr="00A83540">
        <w:t>conversion from imperial to metric and vice versa</w:t>
      </w:r>
    </w:p>
    <w:p w:rsidR="00000000" w:rsidRPr="00A83540" w:rsidP="00A83540">
      <w:pPr>
        <w:pStyle w:val="ListBullet3"/>
      </w:pPr>
      <w:r w:rsidRPr="00A83540">
        <w:t>required mud weight to control formation fluid pressures</w:t>
      </w:r>
    </w:p>
    <w:p w:rsidR="00000000" w:rsidRPr="00A83540" w:rsidP="00A83540">
      <w:pPr>
        <w:pStyle w:val="ListBullet2"/>
      </w:pPr>
      <w:r w:rsidRPr="00A83540">
        <w:t>appropriate fishing operations for the type(s) of drilling being undertaken</w:t>
      </w:r>
    </w:p>
    <w:p w:rsidR="00000000" w:rsidRPr="00A83540" w:rsidP="00A83540">
      <w:pPr>
        <w:pStyle w:val="ListBullet2"/>
      </w:pPr>
      <w:r w:rsidRPr="00A83540">
        <w:t>using of materials safety data sheets (MSDS)</w:t>
      </w:r>
    </w:p>
    <w:p w:rsidR="00000000" w:rsidRPr="00A83540" w:rsidP="00A83540">
      <w:pPr>
        <w:pStyle w:val="ListBullet2"/>
      </w:pPr>
      <w:r w:rsidRPr="00A83540">
        <w:t>being prepared for fire/acc</w:t>
      </w:r>
      <w:r w:rsidRPr="00A83540">
        <w:t>ident/emergency</w:t>
      </w:r>
    </w:p>
    <w:p w:rsidR="00000000" w:rsidRPr="00A83540" w:rsidP="00A83540">
      <w:pPr>
        <w:pStyle w:val="AllowPageBreak"/>
      </w:pPr>
    </w:p>
    <w:p w:rsidR="00000000" w:rsidRPr="00A83540" w:rsidP="00A83540">
      <w:pPr>
        <w:pStyle w:val="Heading1"/>
      </w:pPr>
      <w:bookmarkStart w:id="4" w:name="O_690712"/>
      <w:bookmarkEnd w:id="4"/>
      <w:r w:rsidRPr="00A83540">
        <w:t>Assessment Conditions</w:t>
      </w:r>
    </w:p>
    <w:p w:rsidR="00000000" w:rsidRPr="00A83540" w:rsidP="00A83540">
      <w:pPr>
        <w:pStyle w:val="ListBullet"/>
      </w:pPr>
      <w:r w:rsidRPr="00A83540">
        <w:t xml:space="preserve">An assessor of this unit must satisfy the requirements of the NVR/AQTF or their successors; and Industry regulations for certification and licensing; and, </w:t>
      </w:r>
    </w:p>
    <w:p w:rsidR="00000000" w:rsidRPr="00A83540" w:rsidP="00A83540">
      <w:pPr>
        <w:pStyle w:val="ListBullet"/>
      </w:pPr>
      <w:r w:rsidRPr="00A83540">
        <w:t>this unit must be assessed in the co</w:t>
      </w:r>
      <w:r w:rsidRPr="00A83540">
        <w:t>ntext of this sector’s work environment; and,</w:t>
      </w:r>
    </w:p>
    <w:p w:rsidR="00000000" w:rsidRPr="00A83540" w:rsidP="00A83540">
      <w:pPr>
        <w:pStyle w:val="ListBullet"/>
      </w:pPr>
      <w:r w:rsidRPr="00A83540">
        <w:t>this unit must be assessed in compliance with relevant legislation/regulation and using policies, procedures, processes and operational manuals directly related to the industry sector for which it is being asse</w:t>
      </w:r>
      <w:r w:rsidRPr="00A83540">
        <w:t>ssed; and,</w:t>
      </w:r>
    </w:p>
    <w:p w:rsidR="00000000" w:rsidRPr="00A83540" w:rsidP="00A83540">
      <w:pPr>
        <w:pStyle w:val="ListBullet"/>
      </w:pPr>
      <w:r w:rsidRPr="00A83540">
        <w:t>assessment may be conducted in conjunction with the assessment of other Units of Competency; and,</w:t>
      </w:r>
    </w:p>
    <w:p w:rsidR="00000000" w:rsidRPr="00A83540" w:rsidP="00A83540">
      <w:pPr>
        <w:pStyle w:val="ListBullet"/>
      </w:pPr>
      <w:r w:rsidRPr="00A83540">
        <w:t>assessment must confirm consistent performance can be applied in a range of relevant workplace circumstances; and,</w:t>
      </w:r>
    </w:p>
    <w:p w:rsidR="00000000" w:rsidRPr="00A83540" w:rsidP="00A83540">
      <w:pPr>
        <w:pStyle w:val="ListBullet"/>
      </w:pPr>
      <w:r w:rsidRPr="00A83540">
        <w:t>assessors must demonstrate the p</w:t>
      </w:r>
      <w:r w:rsidRPr="00A83540">
        <w:t>erformance evidence, and knowledge evidence as outlined in this Unit of Competency, and through the minimum years of current* work experience specified below in an Industry sector relevant to the outcomes of the unit; or,</w:t>
      </w:r>
    </w:p>
    <w:p w:rsidR="00000000" w:rsidRPr="00A83540" w:rsidP="00A83540">
      <w:pPr>
        <w:pStyle w:val="ListBullet"/>
      </w:pPr>
      <w:r w:rsidRPr="00A83540">
        <w:t>where the assessor does not meet e</w:t>
      </w:r>
      <w:r w:rsidRPr="00A83540">
        <w:t>xperience requirements a co-assessment or partnership arrangement must exist between the qualified assessor and an Industry subject matter expert. The Industry subject matter expert should hold the unit being assessed (or an equivalent unit) and/or demonst</w:t>
      </w:r>
      <w:r w:rsidRPr="00A83540">
        <w:t>rate equivalence of skills and knowledge at the unit level. An Industry technical expert must also demonstrate skills and knowledge from the minimum years of current work experience specified below in the Industry sector, including time spent in roles rela</w:t>
      </w:r>
      <w:r w:rsidRPr="00A83540">
        <w:t>ted to the unit being assessed; and,</w:t>
      </w:r>
    </w:p>
    <w:p w:rsidR="00000000" w:rsidRPr="00A83540" w:rsidP="00A83540">
      <w:pPr>
        <w:pStyle w:val="ListBullet"/>
      </w:pPr>
      <w:r w:rsidRPr="00A83540">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835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Heading4"/>
              <w:rPr>
                <w:lang w:val="en-NZ"/>
              </w:rPr>
            </w:pPr>
            <w:r w:rsidRPr="00A8354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Heading4"/>
              <w:rPr>
                <w:lang w:val="en-NZ"/>
              </w:rPr>
            </w:pPr>
            <w:r w:rsidRPr="00A83540">
              <w:t>AQF</w:t>
            </w:r>
            <w:r w:rsidRPr="00A83540">
              <w:t>**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Heading4"/>
              <w:rPr>
                <w:lang w:val="en-NZ"/>
              </w:rPr>
            </w:pPr>
            <w:r w:rsidRPr="00A83540">
              <w:t>Required assessor or Industry subject matter expert experience</w:t>
            </w:r>
          </w:p>
        </w:tc>
      </w:tr>
      <w:tr w:rsidTr="00A8354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1 Year</w:t>
            </w:r>
          </w:p>
        </w:tc>
      </w:tr>
      <w:tr w:rsidTr="00A8354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2 Years</w:t>
            </w:r>
          </w:p>
        </w:tc>
      </w:tr>
      <w:tr w:rsidTr="00A835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3 Years</w:t>
            </w:r>
          </w:p>
        </w:tc>
      </w:tr>
      <w:tr w:rsidTr="00A835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5 Years</w:t>
            </w:r>
          </w:p>
        </w:tc>
      </w:tr>
      <w:tr w:rsidTr="00A8354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540">
            <w:pPr>
              <w:pStyle w:val="BodyText"/>
              <w:rPr>
                <w:lang w:val="en-NZ"/>
              </w:rPr>
            </w:pPr>
            <w:r w:rsidRPr="00A8354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540" w:rsidP="00A83540">
            <w:pPr>
              <w:pStyle w:val="BodyText"/>
            </w:pPr>
            <w:r w:rsidRPr="00A83540">
              <w:t xml:space="preserve">Where this Unit is being assessed outside of the Resources and Infrastructure Sectors assessor and/or Industry subject matter expert experience </w:t>
            </w:r>
            <w:r w:rsidRPr="00A83540">
              <w:t>should be in-line with industry standards for the sector in which it is being assessed and where no Industry standard is specified should comply with any relevant regulation.</w:t>
            </w:r>
          </w:p>
        </w:tc>
      </w:tr>
    </w:tbl>
    <w:p w:rsidR="00000000" w:rsidRPr="00A83540" w:rsidP="00FA1A6D">
      <w:pPr>
        <w:pStyle w:val="BodyText"/>
      </w:pPr>
      <w:r w:rsidRPr="00A83540">
        <w:t>*Assessors can demonstrate current work experience through employment within In</w:t>
      </w:r>
      <w:r w:rsidRPr="00A83540">
        <w:t>dustry in a role relevant to the outcomes of the Unit; or, for external assessors this can be demonstrated through exposure to Industry by conducting frequent site assessments across various locations.</w:t>
      </w:r>
    </w:p>
    <w:p w:rsidR="00FA1A6D" w:rsidP="00FA1A6D">
      <w:pPr>
        <w:pStyle w:val="BodyText"/>
      </w:pPr>
      <w:r w:rsidRPr="00A83540">
        <w:t>**Where a unit is being delivered outside of a Qualifi</w:t>
      </w:r>
      <w:r w:rsidRPr="00A83540">
        <w:t>cation the first numeric character in the Unit code should be considered to indicate the AQF level</w:t>
      </w:r>
    </w:p>
    <w:p w:rsidR="00000000" w:rsidRPr="00A83540" w:rsidP="00A83540">
      <w:pPr>
        <w:pStyle w:val="Heading1"/>
      </w:pPr>
      <w:bookmarkStart w:id="5" w:name="O_690724"/>
      <w:bookmarkEnd w:id="5"/>
      <w:r w:rsidRPr="00A83540">
        <w:t>Links</w:t>
      </w:r>
    </w:p>
    <w:p w:rsidR="00000000" w:rsidRPr="00A83540" w:rsidP="00FA1A6D">
      <w:pPr>
        <w:pStyle w:val="BodyText"/>
      </w:pPr>
      <w:r w:rsidRPr="00A8354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434F">
        <w:rPr>
          <w:rStyle w:val="Hyperlink"/>
        </w:rPr>
        <w:t>https://vetnet.gov.au/Pages/TrainingDocs.aspx?q=88a61002-9a21-4386-aaf8-69c76e675272</w:t>
      </w:r>
      <w:r>
        <w:fldChar w:fldCharType="end"/>
      </w:r>
    </w:p>
    <w:p w:rsidR="00000000" w:rsidRPr="00A83540" w:rsidP="00A83540"/>
    <w:sectPr w:rsidSect="00A835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40" w:rsidRPr="00FA1A6D" w:rsidP="00FA1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6D" w:rsidP="00A83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1A6D" w:rsidP="00A835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A1A6D" w:rsidP="00A835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540" w:rsidRPr="00FA1A6D" w:rsidP="00FA1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6D" w:rsidRPr="002D2AF8" w:rsidP="00A83540">
    <w:pPr>
      <w:pStyle w:val="Header"/>
      <w:framePr w:wrap="around"/>
    </w:pPr>
    <w:r>
      <w:fldChar w:fldCharType="begin"/>
    </w:r>
    <w:r>
      <w:instrText xml:space="preserve"> TITLE   \* MERGEFORMAT </w:instrText>
    </w:r>
    <w:r>
      <w:fldChar w:fldCharType="separate"/>
    </w:r>
    <w:r>
      <w:t>Assessment Requirements for RIINHB412D Construct geothermal wells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A1A6D" w:rsidP="00A835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4E37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48A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B65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5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540"/>
    <w:pPr>
      <w:spacing w:before="360" w:after="60"/>
      <w:outlineLvl w:val="0"/>
    </w:pPr>
    <w:rPr>
      <w:sz w:val="32"/>
    </w:rPr>
  </w:style>
  <w:style w:type="paragraph" w:styleId="Heading2">
    <w:name w:val="heading 2"/>
    <w:basedOn w:val="HeadingBase"/>
    <w:next w:val="BodyText"/>
    <w:link w:val="Heading2Char"/>
    <w:qFormat/>
    <w:rsid w:val="00A83540"/>
    <w:pPr>
      <w:keepLines/>
      <w:spacing w:before="240" w:after="120"/>
      <w:outlineLvl w:val="1"/>
    </w:pPr>
    <w:rPr>
      <w:sz w:val="28"/>
      <w:szCs w:val="40"/>
    </w:rPr>
  </w:style>
  <w:style w:type="paragraph" w:styleId="Heading3">
    <w:name w:val="heading 3"/>
    <w:basedOn w:val="HeadingBase"/>
    <w:next w:val="BodyText"/>
    <w:link w:val="Heading3Char"/>
    <w:qFormat/>
    <w:rsid w:val="00A83540"/>
    <w:pPr>
      <w:spacing w:before="180" w:after="120"/>
      <w:outlineLvl w:val="2"/>
    </w:pPr>
    <w:rPr>
      <w:spacing w:val="-10"/>
      <w:kern w:val="32"/>
    </w:rPr>
  </w:style>
  <w:style w:type="paragraph" w:styleId="Heading4">
    <w:name w:val="heading 4"/>
    <w:basedOn w:val="HeadingBase"/>
    <w:next w:val="BodyText"/>
    <w:link w:val="Heading4Char"/>
    <w:qFormat/>
    <w:rsid w:val="00A83540"/>
    <w:pPr>
      <w:spacing w:before="160" w:after="120"/>
      <w:outlineLvl w:val="3"/>
    </w:pPr>
    <w:rPr>
      <w:sz w:val="22"/>
    </w:rPr>
  </w:style>
  <w:style w:type="paragraph" w:styleId="Heading5">
    <w:name w:val="heading 5"/>
    <w:basedOn w:val="HeadingBase"/>
    <w:next w:val="Normal"/>
    <w:link w:val="Heading5Char"/>
    <w:qFormat/>
    <w:rsid w:val="00A83540"/>
    <w:pPr>
      <w:spacing w:before="80"/>
      <w:outlineLvl w:val="4"/>
    </w:pPr>
    <w:rPr>
      <w:color w:val="918585"/>
      <w:sz w:val="20"/>
    </w:rPr>
  </w:style>
  <w:style w:type="paragraph" w:styleId="Heading6">
    <w:name w:val="heading 6"/>
    <w:basedOn w:val="HeadingBase"/>
    <w:next w:val="Normal"/>
    <w:link w:val="Heading6Char"/>
    <w:qFormat/>
    <w:rsid w:val="00A83540"/>
    <w:pPr>
      <w:spacing w:before="60"/>
      <w:outlineLvl w:val="5"/>
    </w:pPr>
    <w:rPr>
      <w:color w:val="918585"/>
      <w:sz w:val="20"/>
    </w:rPr>
  </w:style>
  <w:style w:type="paragraph" w:styleId="Heading7">
    <w:name w:val="heading 7"/>
    <w:basedOn w:val="Normal"/>
    <w:next w:val="Normal"/>
    <w:link w:val="Heading7Char"/>
    <w:qFormat/>
    <w:rsid w:val="00A83540"/>
    <w:pPr>
      <w:ind w:left="720"/>
      <w:outlineLvl w:val="6"/>
    </w:pPr>
    <w:rPr>
      <w:i/>
    </w:rPr>
  </w:style>
  <w:style w:type="paragraph" w:styleId="Heading8">
    <w:name w:val="heading 8"/>
    <w:basedOn w:val="Normal"/>
    <w:next w:val="Normal"/>
    <w:link w:val="Heading8Char"/>
    <w:qFormat/>
    <w:rsid w:val="00A83540"/>
    <w:pPr>
      <w:ind w:left="720"/>
      <w:outlineLvl w:val="7"/>
    </w:pPr>
    <w:rPr>
      <w:i/>
    </w:rPr>
  </w:style>
  <w:style w:type="paragraph" w:styleId="Heading9">
    <w:name w:val="heading 9"/>
    <w:basedOn w:val="Normal"/>
    <w:next w:val="Normal"/>
    <w:link w:val="Heading9Char"/>
    <w:qFormat/>
    <w:rsid w:val="00A83540"/>
    <w:pPr>
      <w:ind w:left="720"/>
      <w:outlineLvl w:val="8"/>
    </w:pPr>
    <w:rPr>
      <w:i/>
    </w:rPr>
  </w:style>
  <w:style w:type="character" w:default="1" w:styleId="DefaultParagraphFont">
    <w:name w:val="Default Paragraph Font"/>
    <w:uiPriority w:val="1"/>
    <w:unhideWhenUsed/>
    <w:rsid w:val="00A83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540"/>
  </w:style>
  <w:style w:type="character" w:customStyle="1" w:styleId="Heading1Char">
    <w:name w:val="Heading 1 Char"/>
    <w:basedOn w:val="DefaultParagraphFont"/>
    <w:link w:val="Heading1"/>
    <w:rsid w:val="00A8354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83540"/>
    <w:rPr>
      <w:rFonts w:ascii="Times New Roman" w:eastAsia="Times New Roman" w:hAnsi="Times New Roman" w:cs="Times New Roman"/>
      <w:b/>
      <w:szCs w:val="20"/>
      <w:lang w:eastAsia="en-US"/>
    </w:rPr>
  </w:style>
  <w:style w:type="paragraph" w:styleId="BodyText">
    <w:name w:val="Body Text"/>
    <w:basedOn w:val="Normal"/>
    <w:link w:val="BodyTextChar"/>
    <w:rsid w:val="00A835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540"/>
    <w:rPr>
      <w:rFonts w:ascii="Times New Roman" w:eastAsia="Times New Roman" w:hAnsi="Times New Roman" w:cs="Times New Roman"/>
      <w:sz w:val="24"/>
      <w:lang w:eastAsia="en-US"/>
    </w:rPr>
  </w:style>
  <w:style w:type="paragraph" w:styleId="ListBullet">
    <w:name w:val="List Bullet"/>
    <w:basedOn w:val="List"/>
    <w:rsid w:val="00A83540"/>
    <w:pPr>
      <w:numPr>
        <w:numId w:val="13"/>
      </w:numPr>
      <w:tabs>
        <w:tab w:val="clear" w:pos="340"/>
      </w:tabs>
      <w:spacing w:before="40" w:after="40"/>
    </w:pPr>
  </w:style>
  <w:style w:type="paragraph" w:styleId="ListBullet2">
    <w:name w:val="List Bullet 2"/>
    <w:basedOn w:val="List2"/>
    <w:rsid w:val="00A83540"/>
    <w:pPr>
      <w:numPr>
        <w:numId w:val="14"/>
      </w:numPr>
      <w:tabs>
        <w:tab w:val="clear" w:pos="680"/>
      </w:tabs>
    </w:pPr>
  </w:style>
  <w:style w:type="paragraph" w:customStyle="1" w:styleId="SuperHeading">
    <w:name w:val="SuperHeading"/>
    <w:basedOn w:val="Normal"/>
    <w:rsid w:val="00A83540"/>
    <w:pPr>
      <w:spacing w:before="240" w:after="120"/>
      <w:outlineLvl w:val="0"/>
    </w:pPr>
    <w:rPr>
      <w:rFonts w:ascii="Times New Roman" w:hAnsi="Times New Roman"/>
      <w:b/>
      <w:sz w:val="32"/>
    </w:rPr>
  </w:style>
  <w:style w:type="paragraph" w:customStyle="1" w:styleId="AllowPageBreak">
    <w:name w:val="AllowPageBreak"/>
    <w:rsid w:val="00A835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3540"/>
    <w:pPr>
      <w:numPr>
        <w:numId w:val="3"/>
      </w:numPr>
      <w:tabs>
        <w:tab w:val="clear" w:pos="1021"/>
      </w:tabs>
      <w:ind w:left="1037" w:hanging="357"/>
    </w:pPr>
  </w:style>
  <w:style w:type="character" w:customStyle="1" w:styleId="Heading2Char">
    <w:name w:val="Heading 2 Char"/>
    <w:basedOn w:val="DefaultParagraphFont"/>
    <w:link w:val="Heading2"/>
    <w:rsid w:val="00A83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54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83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5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5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540"/>
    <w:rPr>
      <w:rFonts w:ascii="Courier New" w:eastAsia="Times New Roman" w:hAnsi="Courier New" w:cs="Times New Roman"/>
      <w:i/>
      <w:szCs w:val="20"/>
      <w:lang w:eastAsia="en-US"/>
    </w:rPr>
  </w:style>
  <w:style w:type="paragraph" w:customStyle="1" w:styleId="HeadingBase">
    <w:name w:val="Heading Base"/>
    <w:rsid w:val="00A83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540"/>
    <w:pPr>
      <w:tabs>
        <w:tab w:val="right" w:leader="dot" w:pos="9072"/>
      </w:tabs>
      <w:ind w:left="567"/>
    </w:pPr>
    <w:rPr>
      <w:szCs w:val="22"/>
    </w:rPr>
  </w:style>
  <w:style w:type="paragraph" w:customStyle="1" w:styleId="TOCBase">
    <w:name w:val="TOC Base"/>
    <w:rsid w:val="00A83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540"/>
    <w:pPr>
      <w:tabs>
        <w:tab w:val="right" w:leader="dot" w:pos="9072"/>
      </w:tabs>
      <w:spacing w:before="40" w:after="40"/>
      <w:ind w:left="284"/>
    </w:pPr>
    <w:rPr>
      <w:rFonts w:ascii="Times New Roman" w:hAnsi="Times New Roman"/>
    </w:rPr>
  </w:style>
  <w:style w:type="paragraph" w:styleId="TOC1">
    <w:name w:val="toc 1"/>
    <w:basedOn w:val="TOCBase"/>
    <w:next w:val="Normal"/>
    <w:rsid w:val="00A835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540"/>
    <w:rPr>
      <w:rFonts w:ascii="Times New Roman" w:eastAsia="Times New Roman" w:hAnsi="Times New Roman" w:cs="Times New Roman"/>
      <w:sz w:val="16"/>
      <w:lang w:eastAsia="en-US"/>
    </w:rPr>
  </w:style>
  <w:style w:type="paragraph" w:styleId="Title">
    <w:name w:val="Title"/>
    <w:basedOn w:val="HeadingBase"/>
    <w:link w:val="TitleChar"/>
    <w:qFormat/>
    <w:rsid w:val="00A83540"/>
    <w:pPr>
      <w:spacing w:before="5040"/>
      <w:jc w:val="center"/>
    </w:pPr>
    <w:rPr>
      <w:sz w:val="48"/>
      <w:szCs w:val="72"/>
      <w:lang w:val="en-US"/>
    </w:rPr>
  </w:style>
  <w:style w:type="character" w:customStyle="1" w:styleId="TitleChar">
    <w:name w:val="Title Char"/>
    <w:basedOn w:val="DefaultParagraphFont"/>
    <w:link w:val="Title"/>
    <w:rsid w:val="00A83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540"/>
    <w:pPr>
      <w:tabs>
        <w:tab w:val="left" w:pos="3600"/>
        <w:tab w:val="left" w:pos="3958"/>
      </w:tabs>
    </w:pPr>
  </w:style>
  <w:style w:type="paragraph" w:styleId="List">
    <w:name w:val="List"/>
    <w:basedOn w:val="BodyText"/>
    <w:next w:val="BodyText"/>
    <w:rsid w:val="00A83540"/>
    <w:pPr>
      <w:tabs>
        <w:tab w:val="left" w:pos="340"/>
      </w:tabs>
      <w:spacing w:before="60" w:after="60"/>
      <w:ind w:left="340" w:hanging="340"/>
    </w:pPr>
  </w:style>
  <w:style w:type="paragraph" w:customStyle="1" w:styleId="Note">
    <w:name w:val="Note"/>
    <w:basedOn w:val="BodyText"/>
    <w:rsid w:val="00A835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3540"/>
    <w:rPr>
      <w:b/>
      <w:spacing w:val="0"/>
    </w:rPr>
  </w:style>
  <w:style w:type="paragraph" w:customStyle="1" w:styleId="SuperTitle">
    <w:name w:val="SuperTitle"/>
    <w:basedOn w:val="Title"/>
    <w:rsid w:val="00A83540"/>
    <w:pPr>
      <w:framePr w:wrap="auto" w:hAnchor="text" w:y="6049"/>
    </w:pPr>
    <w:rPr>
      <w:color w:val="000000"/>
      <w:sz w:val="40"/>
    </w:rPr>
  </w:style>
  <w:style w:type="paragraph" w:customStyle="1" w:styleId="TOCTitle">
    <w:name w:val="TOCTitle"/>
    <w:basedOn w:val="Heading1"/>
    <w:rsid w:val="00A83540"/>
    <w:pPr>
      <w:spacing w:after="240"/>
      <w:jc w:val="center"/>
      <w:outlineLvl w:val="9"/>
    </w:pPr>
    <w:rPr>
      <w:caps/>
    </w:rPr>
  </w:style>
  <w:style w:type="paragraph" w:customStyle="1" w:styleId="Version">
    <w:name w:val="Version"/>
    <w:rsid w:val="00A835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540"/>
    <w:pPr>
      <w:keepNext w:val="0"/>
      <w:tabs>
        <w:tab w:val="right" w:pos="4176"/>
      </w:tabs>
      <w:ind w:left="198" w:hanging="198"/>
    </w:pPr>
    <w:rPr>
      <w:rFonts w:ascii="Garamond" w:hAnsi="Garamond"/>
    </w:rPr>
  </w:style>
  <w:style w:type="paragraph" w:styleId="IndexHeading">
    <w:name w:val="index heading"/>
    <w:basedOn w:val="Normal"/>
    <w:next w:val="Index1"/>
    <w:semiHidden/>
    <w:rsid w:val="00A83540"/>
    <w:pPr>
      <w:spacing w:before="120" w:after="120"/>
    </w:pPr>
    <w:rPr>
      <w:rFonts w:ascii="Arial" w:hAnsi="Arial"/>
      <w:b/>
      <w:color w:val="918585"/>
      <w:sz w:val="24"/>
    </w:rPr>
  </w:style>
  <w:style w:type="paragraph" w:styleId="Header">
    <w:name w:val="header"/>
    <w:basedOn w:val="Normal"/>
    <w:link w:val="HeaderChar"/>
    <w:rsid w:val="00A83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540"/>
    <w:rPr>
      <w:rFonts w:ascii="Times New Roman" w:eastAsia="Times New Roman" w:hAnsi="Times New Roman" w:cs="Times New Roman"/>
      <w:sz w:val="16"/>
      <w:szCs w:val="20"/>
      <w:lang w:val="en-GB" w:eastAsia="en-US"/>
    </w:rPr>
  </w:style>
  <w:style w:type="paragraph" w:customStyle="1" w:styleId="Chapter">
    <w:name w:val="Chapter"/>
    <w:basedOn w:val="Normal"/>
    <w:rsid w:val="00A83540"/>
    <w:pPr>
      <w:spacing w:before="240"/>
    </w:pPr>
    <w:rPr>
      <w:rFonts w:ascii="Times New Roman" w:hAnsi="Times New Roman"/>
      <w:smallCaps/>
      <w:spacing w:val="80"/>
      <w:sz w:val="28"/>
    </w:rPr>
  </w:style>
  <w:style w:type="paragraph" w:customStyle="1" w:styleId="InChapter">
    <w:name w:val="InChapter"/>
    <w:basedOn w:val="Heading3"/>
    <w:rsid w:val="00A83540"/>
    <w:pPr>
      <w:spacing w:after="240"/>
      <w:outlineLvl w:val="9"/>
    </w:pPr>
    <w:rPr>
      <w:noProof/>
    </w:rPr>
  </w:style>
  <w:style w:type="paragraph" w:styleId="Index2">
    <w:name w:val="index 2"/>
    <w:basedOn w:val="Normal"/>
    <w:next w:val="Normal"/>
    <w:semiHidden/>
    <w:rsid w:val="00A83540"/>
    <w:pPr>
      <w:tabs>
        <w:tab w:val="right" w:pos="4176"/>
      </w:tabs>
      <w:ind w:left="568" w:hanging="284"/>
    </w:pPr>
    <w:rPr>
      <w:rFonts w:ascii="Garamond" w:hAnsi="Garamond"/>
    </w:rPr>
  </w:style>
  <w:style w:type="paragraph" w:customStyle="1" w:styleId="Byline">
    <w:name w:val="Byline"/>
    <w:rsid w:val="00A83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540"/>
    <w:pPr>
      <w:tabs>
        <w:tab w:val="clear" w:pos="3600"/>
        <w:tab w:val="clear" w:pos="3958"/>
      </w:tabs>
      <w:jc w:val="right"/>
    </w:pPr>
  </w:style>
  <w:style w:type="character" w:styleId="Emphasis">
    <w:name w:val="Emphasis"/>
    <w:basedOn w:val="DefaultParagraphFont"/>
    <w:qFormat/>
    <w:rsid w:val="00A83540"/>
    <w:rPr>
      <w:i/>
    </w:rPr>
  </w:style>
  <w:style w:type="paragraph" w:styleId="Caption">
    <w:name w:val="caption"/>
    <w:basedOn w:val="BodyText"/>
    <w:next w:val="Normal"/>
    <w:qFormat/>
    <w:rsid w:val="00A83540"/>
    <w:pPr>
      <w:framePr w:w="2268" w:hSpace="181" w:vSpace="181" w:wrap="around" w:vAnchor="text" w:hAnchor="page" w:x="1135" w:y="285" w:anchorLock="1"/>
    </w:pPr>
    <w:rPr>
      <w:i/>
    </w:rPr>
  </w:style>
  <w:style w:type="paragraph" w:customStyle="1" w:styleId="MiniTOCTitle">
    <w:name w:val="MiniTOCTitle"/>
    <w:basedOn w:val="Heading4"/>
    <w:rsid w:val="00A83540"/>
    <w:pPr>
      <w:spacing w:before="240"/>
      <w:outlineLvl w:val="9"/>
    </w:pPr>
    <w:rPr>
      <w:noProof/>
      <w:sz w:val="24"/>
    </w:rPr>
  </w:style>
  <w:style w:type="paragraph" w:customStyle="1" w:styleId="MiniTOCItem">
    <w:name w:val="MiniTOCItem"/>
    <w:basedOn w:val="ListBullet"/>
    <w:rsid w:val="00A83540"/>
    <w:pPr>
      <w:numPr>
        <w:numId w:val="0"/>
      </w:numPr>
      <w:tabs>
        <w:tab w:val="right" w:leader="dot" w:pos="6521"/>
      </w:tabs>
      <w:spacing w:before="0" w:after="0"/>
    </w:pPr>
  </w:style>
  <w:style w:type="paragraph" w:customStyle="1" w:styleId="TOFTitle">
    <w:name w:val="TOFTitle"/>
    <w:basedOn w:val="TOCTitle"/>
    <w:rsid w:val="00A83540"/>
  </w:style>
  <w:style w:type="paragraph" w:styleId="TableofFigures">
    <w:name w:val="table of figures"/>
    <w:basedOn w:val="Normal"/>
    <w:next w:val="Normal"/>
    <w:semiHidden/>
    <w:rsid w:val="00A83540"/>
    <w:pPr>
      <w:tabs>
        <w:tab w:val="right" w:leader="dot" w:pos="9072"/>
      </w:tabs>
      <w:ind w:left="970" w:hanging="403"/>
    </w:pPr>
    <w:rPr>
      <w:rFonts w:ascii="Times New Roman" w:hAnsi="Times New Roman"/>
      <w:b/>
    </w:rPr>
  </w:style>
  <w:style w:type="paragraph" w:styleId="ListNumber">
    <w:name w:val="List Number"/>
    <w:basedOn w:val="List"/>
    <w:rsid w:val="00A83540"/>
    <w:pPr>
      <w:numPr>
        <w:numId w:val="16"/>
      </w:numPr>
      <w:tabs>
        <w:tab w:val="clear" w:pos="340"/>
      </w:tabs>
    </w:pPr>
  </w:style>
  <w:style w:type="character" w:customStyle="1" w:styleId="WingdingSymbols">
    <w:name w:val="Wingding Symbols"/>
    <w:rsid w:val="00A83540"/>
    <w:rPr>
      <w:rFonts w:ascii="Wingdings" w:hAnsi="Wingdings"/>
    </w:rPr>
  </w:style>
  <w:style w:type="paragraph" w:customStyle="1" w:styleId="TableHeading">
    <w:name w:val="Table Heading"/>
    <w:basedOn w:val="HeadingBase"/>
    <w:rsid w:val="00A83540"/>
    <w:pPr>
      <w:keepLines/>
      <w:pBdr>
        <w:bottom w:val="single" w:sz="6" w:space="1" w:color="918585"/>
      </w:pBdr>
      <w:spacing w:before="240"/>
    </w:pPr>
  </w:style>
  <w:style w:type="character" w:customStyle="1" w:styleId="HotSpot">
    <w:name w:val="HotSpot"/>
    <w:rsid w:val="00A83540"/>
    <w:rPr>
      <w:color w:val="0033CC"/>
      <w:u w:val="none"/>
    </w:rPr>
  </w:style>
  <w:style w:type="paragraph" w:customStyle="1" w:styleId="BodyTextRight">
    <w:name w:val="Body Text Right"/>
    <w:basedOn w:val="BodyText"/>
    <w:rsid w:val="00A83540"/>
    <w:pPr>
      <w:spacing w:before="0" w:after="0"/>
      <w:jc w:val="right"/>
    </w:pPr>
  </w:style>
  <w:style w:type="paragraph" w:styleId="Index3">
    <w:name w:val="index 3"/>
    <w:basedOn w:val="ListNumber2"/>
    <w:next w:val="Normal"/>
    <w:semiHidden/>
    <w:rsid w:val="00A83540"/>
    <w:pPr>
      <w:numPr>
        <w:numId w:val="0"/>
      </w:numPr>
      <w:tabs>
        <w:tab w:val="right" w:leader="dot" w:pos="4176"/>
      </w:tabs>
    </w:pPr>
  </w:style>
  <w:style w:type="paragraph" w:styleId="ListNumber2">
    <w:name w:val="List Number 2"/>
    <w:basedOn w:val="List2"/>
    <w:rsid w:val="00A83540"/>
    <w:pPr>
      <w:numPr>
        <w:numId w:val="11"/>
      </w:numPr>
      <w:tabs>
        <w:tab w:val="clear" w:pos="1060"/>
      </w:tabs>
    </w:pPr>
  </w:style>
  <w:style w:type="paragraph" w:customStyle="1" w:styleId="MarginNote">
    <w:name w:val="Margin Note"/>
    <w:basedOn w:val="BodyText"/>
    <w:rsid w:val="00A83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5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540"/>
    <w:rPr>
      <w:sz w:val="32"/>
    </w:rPr>
  </w:style>
  <w:style w:type="paragraph" w:customStyle="1" w:styleId="HeadingProcedure">
    <w:name w:val="Heading Procedure"/>
    <w:basedOn w:val="HeadingBase"/>
    <w:next w:val="Normal"/>
    <w:rsid w:val="00A83540"/>
    <w:pPr>
      <w:tabs>
        <w:tab w:val="left" w:pos="0"/>
      </w:tabs>
      <w:spacing w:before="120" w:after="60"/>
    </w:pPr>
    <w:rPr>
      <w:i/>
      <w:color w:val="918585"/>
      <w:sz w:val="22"/>
    </w:rPr>
  </w:style>
  <w:style w:type="paragraph" w:customStyle="1" w:styleId="TableBodyText">
    <w:name w:val="Table Body Text"/>
    <w:basedOn w:val="BodyText"/>
    <w:rsid w:val="00A83540"/>
    <w:pPr>
      <w:spacing w:before="60" w:after="60"/>
    </w:pPr>
  </w:style>
  <w:style w:type="paragraph" w:styleId="ListContinue">
    <w:name w:val="List Continue"/>
    <w:basedOn w:val="List"/>
    <w:rsid w:val="00A83540"/>
    <w:pPr>
      <w:ind w:firstLine="0"/>
    </w:pPr>
  </w:style>
  <w:style w:type="paragraph" w:customStyle="1" w:styleId="ListNote">
    <w:name w:val="List Note"/>
    <w:basedOn w:val="List"/>
    <w:rsid w:val="00A83540"/>
    <w:pPr>
      <w:pBdr>
        <w:top w:val="single" w:sz="6" w:space="2" w:color="918585"/>
        <w:bottom w:val="single" w:sz="6" w:space="2" w:color="918585"/>
      </w:pBdr>
      <w:tabs>
        <w:tab w:val="left" w:pos="1021"/>
      </w:tabs>
      <w:ind w:firstLine="0"/>
    </w:pPr>
  </w:style>
  <w:style w:type="paragraph" w:customStyle="1" w:styleId="Warning">
    <w:name w:val="Warning"/>
    <w:basedOn w:val="BodyText"/>
    <w:rsid w:val="00A83540"/>
    <w:pPr>
      <w:shd w:val="clear" w:color="auto" w:fill="D9D9D9"/>
      <w:tabs>
        <w:tab w:val="left" w:pos="992"/>
      </w:tabs>
      <w:ind w:left="119" w:right="119"/>
    </w:pPr>
    <w:rPr>
      <w:sz w:val="20"/>
    </w:rPr>
  </w:style>
  <w:style w:type="paragraph" w:customStyle="1" w:styleId="MarginIcons">
    <w:name w:val="Margin Icons"/>
    <w:basedOn w:val="BodyText"/>
    <w:rsid w:val="00A83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540"/>
    <w:rPr>
      <w:rFonts w:ascii="Courier New" w:hAnsi="Courier New"/>
    </w:rPr>
  </w:style>
  <w:style w:type="paragraph" w:customStyle="1" w:styleId="NoteBullet">
    <w:name w:val="Note Bullet"/>
    <w:basedOn w:val="Note"/>
    <w:rsid w:val="00A83540"/>
    <w:pPr>
      <w:tabs>
        <w:tab w:val="clear" w:pos="680"/>
      </w:tabs>
      <w:spacing w:before="60" w:after="60"/>
    </w:pPr>
  </w:style>
  <w:style w:type="paragraph" w:customStyle="1" w:styleId="SubHeading2">
    <w:name w:val="SubHeading2"/>
    <w:basedOn w:val="HeadingBase"/>
    <w:rsid w:val="00A83540"/>
    <w:pPr>
      <w:spacing w:before="240" w:after="60"/>
    </w:pPr>
    <w:rPr>
      <w:sz w:val="20"/>
    </w:rPr>
  </w:style>
  <w:style w:type="paragraph" w:customStyle="1" w:styleId="SubHeading1">
    <w:name w:val="SubHeading1"/>
    <w:basedOn w:val="HeadingBase"/>
    <w:rsid w:val="00A83540"/>
    <w:pPr>
      <w:spacing w:before="240" w:after="60"/>
    </w:pPr>
    <w:rPr>
      <w:color w:val="918585"/>
      <w:sz w:val="22"/>
    </w:rPr>
  </w:style>
  <w:style w:type="paragraph" w:customStyle="1" w:styleId="SideHeading">
    <w:name w:val="Side Heading"/>
    <w:basedOn w:val="HeadingBase"/>
    <w:rsid w:val="00A83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540"/>
    <w:pPr>
      <w:numPr>
        <w:numId w:val="12"/>
      </w:numPr>
    </w:pPr>
  </w:style>
  <w:style w:type="paragraph" w:styleId="PlainText">
    <w:name w:val="Plain Text"/>
    <w:basedOn w:val="Normal"/>
    <w:link w:val="PlainTextChar"/>
    <w:rsid w:val="00A83540"/>
    <w:rPr>
      <w:sz w:val="20"/>
    </w:rPr>
  </w:style>
  <w:style w:type="character" w:customStyle="1" w:styleId="PlainTextChar">
    <w:name w:val="Plain Text Char"/>
    <w:basedOn w:val="DefaultParagraphFont"/>
    <w:link w:val="PlainText"/>
    <w:rsid w:val="00A83540"/>
    <w:rPr>
      <w:rFonts w:ascii="Courier New" w:eastAsia="Times New Roman" w:hAnsi="Courier New" w:cs="Times New Roman"/>
      <w:sz w:val="20"/>
      <w:szCs w:val="20"/>
      <w:lang w:eastAsia="en-US"/>
    </w:rPr>
  </w:style>
  <w:style w:type="character" w:customStyle="1" w:styleId="MenuOption">
    <w:name w:val="Menu Option"/>
    <w:basedOn w:val="DefaultParagraphFont"/>
    <w:rsid w:val="00A83540"/>
    <w:rPr>
      <w:b/>
      <w:smallCaps/>
    </w:rPr>
  </w:style>
  <w:style w:type="paragraph" w:customStyle="1" w:styleId="TableListNumber">
    <w:name w:val="Table List Number"/>
    <w:basedOn w:val="ListNumber"/>
    <w:rsid w:val="00A83540"/>
    <w:pPr>
      <w:numPr>
        <w:numId w:val="0"/>
      </w:numPr>
    </w:pPr>
  </w:style>
  <w:style w:type="paragraph" w:styleId="TOC4">
    <w:name w:val="toc 4"/>
    <w:basedOn w:val="TOCBase"/>
    <w:next w:val="Normal"/>
    <w:semiHidden/>
    <w:rsid w:val="00A83540"/>
    <w:pPr>
      <w:tabs>
        <w:tab w:val="right" w:leader="dot" w:pos="9071"/>
      </w:tabs>
      <w:ind w:left="1701"/>
    </w:pPr>
  </w:style>
  <w:style w:type="paragraph" w:customStyle="1" w:styleId="ListAlpha">
    <w:name w:val="List Alpha"/>
    <w:basedOn w:val="List"/>
    <w:rsid w:val="00A83540"/>
    <w:pPr>
      <w:numPr>
        <w:numId w:val="10"/>
      </w:numPr>
    </w:pPr>
  </w:style>
  <w:style w:type="paragraph" w:customStyle="1" w:styleId="ListAlpha2">
    <w:name w:val="List Alpha 2"/>
    <w:basedOn w:val="List2"/>
    <w:rsid w:val="00A83540"/>
    <w:pPr>
      <w:numPr>
        <w:numId w:val="9"/>
      </w:numPr>
    </w:pPr>
  </w:style>
  <w:style w:type="paragraph" w:styleId="List2">
    <w:name w:val="List 2"/>
    <w:basedOn w:val="BodyText"/>
    <w:rsid w:val="00A83540"/>
    <w:pPr>
      <w:tabs>
        <w:tab w:val="left" w:pos="680"/>
      </w:tabs>
      <w:spacing w:before="60" w:after="60"/>
      <w:ind w:left="680" w:hanging="340"/>
    </w:pPr>
  </w:style>
  <w:style w:type="paragraph" w:styleId="List3">
    <w:name w:val="List 3"/>
    <w:basedOn w:val="BodyText"/>
    <w:rsid w:val="00A83540"/>
    <w:pPr>
      <w:tabs>
        <w:tab w:val="left" w:pos="1021"/>
      </w:tabs>
      <w:spacing w:before="60" w:after="60"/>
      <w:ind w:left="1020" w:hanging="340"/>
    </w:pPr>
  </w:style>
  <w:style w:type="paragraph" w:styleId="List4">
    <w:name w:val="List 4"/>
    <w:basedOn w:val="BodyText"/>
    <w:rsid w:val="00A83540"/>
    <w:pPr>
      <w:tabs>
        <w:tab w:val="left" w:pos="1361"/>
      </w:tabs>
      <w:spacing w:before="60" w:after="60"/>
      <w:ind w:left="1361" w:hanging="340"/>
    </w:pPr>
  </w:style>
  <w:style w:type="paragraph" w:styleId="List5">
    <w:name w:val="List 5"/>
    <w:basedOn w:val="BodyText"/>
    <w:rsid w:val="00A83540"/>
    <w:pPr>
      <w:tabs>
        <w:tab w:val="left" w:pos="1701"/>
      </w:tabs>
      <w:spacing w:before="60" w:after="60"/>
      <w:ind w:left="1701" w:hanging="340"/>
    </w:pPr>
  </w:style>
  <w:style w:type="paragraph" w:styleId="ListBullet4">
    <w:name w:val="List Bullet 4"/>
    <w:basedOn w:val="List4"/>
    <w:rsid w:val="00A83540"/>
    <w:pPr>
      <w:numPr>
        <w:numId w:val="4"/>
      </w:numPr>
      <w:tabs>
        <w:tab w:val="clear" w:pos="1361"/>
      </w:tabs>
    </w:pPr>
  </w:style>
  <w:style w:type="paragraph" w:styleId="ListBullet5">
    <w:name w:val="List Bullet 5"/>
    <w:basedOn w:val="List5"/>
    <w:rsid w:val="00A83540"/>
    <w:pPr>
      <w:numPr>
        <w:numId w:val="5"/>
      </w:numPr>
    </w:pPr>
  </w:style>
  <w:style w:type="paragraph" w:styleId="ListContinue2">
    <w:name w:val="List Continue 2"/>
    <w:basedOn w:val="List2"/>
    <w:rsid w:val="00A83540"/>
    <w:pPr>
      <w:ind w:firstLine="0"/>
    </w:pPr>
  </w:style>
  <w:style w:type="paragraph" w:styleId="ListContinue3">
    <w:name w:val="List Continue 3"/>
    <w:basedOn w:val="List3"/>
    <w:rsid w:val="00A83540"/>
    <w:pPr>
      <w:ind w:left="1021" w:firstLine="0"/>
    </w:pPr>
  </w:style>
  <w:style w:type="paragraph" w:styleId="ListContinue4">
    <w:name w:val="List Continue 4"/>
    <w:basedOn w:val="List4"/>
    <w:rsid w:val="00A83540"/>
    <w:pPr>
      <w:ind w:firstLine="0"/>
    </w:pPr>
  </w:style>
  <w:style w:type="paragraph" w:styleId="ListContinue5">
    <w:name w:val="List Continue 5"/>
    <w:basedOn w:val="List5"/>
    <w:rsid w:val="00A83540"/>
    <w:pPr>
      <w:ind w:firstLine="0"/>
    </w:pPr>
  </w:style>
  <w:style w:type="paragraph" w:styleId="ListNumber3">
    <w:name w:val="List Number 3"/>
    <w:basedOn w:val="List3"/>
    <w:rsid w:val="00A83540"/>
    <w:pPr>
      <w:numPr>
        <w:numId w:val="6"/>
      </w:numPr>
    </w:pPr>
  </w:style>
  <w:style w:type="paragraph" w:styleId="ListNumber4">
    <w:name w:val="List Number 4"/>
    <w:basedOn w:val="List4"/>
    <w:rsid w:val="00A83540"/>
    <w:pPr>
      <w:numPr>
        <w:numId w:val="7"/>
      </w:numPr>
    </w:pPr>
  </w:style>
  <w:style w:type="paragraph" w:styleId="ListNumber5">
    <w:name w:val="List Number 5"/>
    <w:basedOn w:val="List5"/>
    <w:rsid w:val="00A83540"/>
    <w:pPr>
      <w:numPr>
        <w:numId w:val="8"/>
      </w:numPr>
    </w:pPr>
  </w:style>
  <w:style w:type="paragraph" w:styleId="BlockText">
    <w:name w:val="Block Text"/>
    <w:basedOn w:val="Normal"/>
    <w:rsid w:val="00A83540"/>
    <w:pPr>
      <w:spacing w:after="120"/>
      <w:ind w:left="1440" w:right="1440"/>
    </w:pPr>
  </w:style>
  <w:style w:type="character" w:customStyle="1" w:styleId="Subscript">
    <w:name w:val="Subscript"/>
    <w:basedOn w:val="DefaultParagraphFont"/>
    <w:rsid w:val="00A83540"/>
    <w:rPr>
      <w:sz w:val="16"/>
      <w:vertAlign w:val="subscript"/>
    </w:rPr>
  </w:style>
  <w:style w:type="character" w:customStyle="1" w:styleId="Superscript">
    <w:name w:val="Superscript"/>
    <w:basedOn w:val="DefaultParagraphFont"/>
    <w:rsid w:val="00A83540"/>
    <w:rPr>
      <w:sz w:val="16"/>
      <w:vertAlign w:val="superscript"/>
    </w:rPr>
  </w:style>
  <w:style w:type="character" w:customStyle="1" w:styleId="Symbols">
    <w:name w:val="Symbols"/>
    <w:basedOn w:val="DefaultParagraphFont"/>
    <w:rsid w:val="00A83540"/>
    <w:rPr>
      <w:rFonts w:ascii="Symbol" w:hAnsi="Symbol"/>
    </w:rPr>
  </w:style>
  <w:style w:type="character" w:customStyle="1" w:styleId="MenuOptions">
    <w:name w:val="Menu Options"/>
    <w:basedOn w:val="DefaultParagraphFont"/>
    <w:rsid w:val="00A83540"/>
    <w:rPr>
      <w:rFonts w:ascii="Arial Narrow" w:hAnsi="Arial Narrow"/>
      <w:smallCaps/>
    </w:rPr>
  </w:style>
  <w:style w:type="character" w:customStyle="1" w:styleId="Buttons">
    <w:name w:val="Buttons"/>
    <w:basedOn w:val="DefaultParagraphFont"/>
    <w:rsid w:val="00A83540"/>
    <w:rPr>
      <w:b/>
    </w:rPr>
  </w:style>
  <w:style w:type="character" w:customStyle="1" w:styleId="Underlined">
    <w:name w:val="Underlined"/>
    <w:basedOn w:val="DefaultParagraphFont"/>
    <w:rsid w:val="00A83540"/>
    <w:rPr>
      <w:u w:val="single"/>
    </w:rPr>
  </w:style>
  <w:style w:type="paragraph" w:customStyle="1" w:styleId="TableBodyTextRight">
    <w:name w:val="Table Body Text Right"/>
    <w:basedOn w:val="TableBodyText"/>
    <w:rsid w:val="00A83540"/>
    <w:pPr>
      <w:widowControl w:val="0"/>
      <w:autoSpaceDE w:val="0"/>
      <w:autoSpaceDN w:val="0"/>
      <w:adjustRightInd w:val="0"/>
      <w:jc w:val="right"/>
    </w:pPr>
    <w:rPr>
      <w:rFonts w:cs="Arial"/>
      <w:szCs w:val="18"/>
    </w:rPr>
  </w:style>
  <w:style w:type="paragraph" w:customStyle="1" w:styleId="CopyrightText">
    <w:name w:val="Copyright Text"/>
    <w:basedOn w:val="BodyText"/>
    <w:rsid w:val="00A83540"/>
    <w:rPr>
      <w:sz w:val="18"/>
    </w:rPr>
  </w:style>
  <w:style w:type="paragraph" w:customStyle="1" w:styleId="BodySmallRight">
    <w:name w:val="Body Small Right"/>
    <w:basedOn w:val="BodyTextRight"/>
    <w:rsid w:val="00A83540"/>
    <w:rPr>
      <w:sz w:val="18"/>
      <w:szCs w:val="18"/>
    </w:rPr>
  </w:style>
  <w:style w:type="paragraph" w:customStyle="1" w:styleId="MarginEdition">
    <w:name w:val="Margin Edition"/>
    <w:basedOn w:val="MarginNote"/>
    <w:rsid w:val="00A83540"/>
    <w:pPr>
      <w:spacing w:before="0" w:after="0"/>
    </w:pPr>
    <w:rPr>
      <w:rFonts w:ascii="Times New Roman" w:hAnsi="Times New Roman"/>
      <w:color w:val="999999"/>
    </w:rPr>
  </w:style>
  <w:style w:type="paragraph" w:customStyle="1" w:styleId="Spacer">
    <w:name w:val="Spacer"/>
    <w:basedOn w:val="Normal"/>
    <w:rsid w:val="00A83540"/>
    <w:rPr>
      <w:sz w:val="2"/>
      <w:szCs w:val="2"/>
    </w:rPr>
  </w:style>
  <w:style w:type="character" w:customStyle="1" w:styleId="Small">
    <w:name w:val="Small"/>
    <w:basedOn w:val="DefaultParagraphFont"/>
    <w:rsid w:val="00A83540"/>
    <w:rPr>
      <w:sz w:val="16"/>
    </w:rPr>
  </w:style>
  <w:style w:type="paragraph" w:customStyle="1" w:styleId="WideTable">
    <w:name w:val="Wide Table"/>
    <w:basedOn w:val="Normal"/>
    <w:rsid w:val="00A83540"/>
    <w:pPr>
      <w:ind w:left="-1418"/>
    </w:pPr>
    <w:rPr>
      <w:sz w:val="2"/>
      <w:szCs w:val="2"/>
    </w:rPr>
  </w:style>
  <w:style w:type="character" w:styleId="PageNumber">
    <w:name w:val="page number"/>
    <w:basedOn w:val="DefaultParagraphFont"/>
    <w:rsid w:val="00A83540"/>
  </w:style>
  <w:style w:type="paragraph" w:styleId="Quote">
    <w:name w:val="Quote"/>
    <w:basedOn w:val="Heading1"/>
    <w:link w:val="QuoteChar"/>
    <w:qFormat/>
    <w:rsid w:val="00A83540"/>
    <w:rPr>
      <w:b w:val="0"/>
      <w:sz w:val="72"/>
      <w:szCs w:val="72"/>
      <w:lang w:val="en-NZ"/>
    </w:rPr>
  </w:style>
  <w:style w:type="character" w:customStyle="1" w:styleId="QuoteChar">
    <w:name w:val="Quote Char"/>
    <w:basedOn w:val="DefaultParagraphFont"/>
    <w:link w:val="Quote"/>
    <w:rsid w:val="00A83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540"/>
    <w:pPr>
      <w:pageBreakBefore/>
    </w:pPr>
  </w:style>
  <w:style w:type="paragraph" w:customStyle="1" w:styleId="Border">
    <w:name w:val="Border"/>
    <w:basedOn w:val="Normal"/>
    <w:qFormat/>
    <w:rsid w:val="00A83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540"/>
    <w:rPr>
      <w:b/>
      <w:bCs/>
      <w:i/>
      <w:iCs/>
      <w:color w:val="auto"/>
    </w:rPr>
  </w:style>
  <w:style w:type="paragraph" w:styleId="IntenseQuote">
    <w:name w:val="Intense Quote"/>
    <w:basedOn w:val="Normal"/>
    <w:next w:val="Normal"/>
    <w:link w:val="IntenseQuoteChar"/>
    <w:uiPriority w:val="30"/>
    <w:qFormat/>
    <w:rsid w:val="00A83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5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540"/>
    <w:rPr>
      <w:smallCaps/>
      <w:color w:val="auto"/>
      <w:u w:val="single"/>
    </w:rPr>
  </w:style>
  <w:style w:type="character" w:styleId="IntenseReference">
    <w:name w:val="Intense Reference"/>
    <w:basedOn w:val="DefaultParagraphFont"/>
    <w:uiPriority w:val="32"/>
    <w:qFormat/>
    <w:rsid w:val="00A83540"/>
    <w:rPr>
      <w:b/>
      <w:bCs/>
      <w:smallCaps/>
      <w:color w:val="auto"/>
      <w:spacing w:val="5"/>
      <w:u w:val="single"/>
    </w:rPr>
  </w:style>
  <w:style w:type="paragraph" w:customStyle="1" w:styleId="2ColumnHeading">
    <w:name w:val="2Column Heading"/>
    <w:basedOn w:val="BodyText"/>
    <w:qFormat/>
    <w:rsid w:val="00A83540"/>
    <w:pPr>
      <w:spacing w:after="60"/>
      <w:ind w:left="-2268"/>
    </w:pPr>
    <w:rPr>
      <w:b/>
    </w:rPr>
  </w:style>
  <w:style w:type="paragraph" w:customStyle="1" w:styleId="Heading1TOC">
    <w:name w:val="Heading1 TOC"/>
    <w:basedOn w:val="Normal"/>
    <w:qFormat/>
    <w:rsid w:val="00A83540"/>
    <w:pPr>
      <w:spacing w:before="240" w:after="120"/>
    </w:pPr>
    <w:rPr>
      <w:rFonts w:ascii="Times New Roman" w:hAnsi="Times New Roman"/>
      <w:b/>
      <w:sz w:val="32"/>
    </w:rPr>
  </w:style>
  <w:style w:type="paragraph" w:customStyle="1" w:styleId="Heading2TOC">
    <w:name w:val="Heading2 TOC"/>
    <w:basedOn w:val="Normal"/>
    <w:qFormat/>
    <w:rsid w:val="00A83540"/>
    <w:pPr>
      <w:spacing w:before="240" w:after="60"/>
    </w:pPr>
    <w:rPr>
      <w:rFonts w:ascii="Times New Roman" w:hAnsi="Times New Roman"/>
      <w:b/>
      <w:sz w:val="28"/>
    </w:rPr>
  </w:style>
  <w:style w:type="character" w:customStyle="1" w:styleId="Underline">
    <w:name w:val="Underline"/>
    <w:basedOn w:val="DefaultParagraphFont"/>
    <w:qFormat/>
    <w:rsid w:val="00A83540"/>
    <w:rPr>
      <w:u w:val="single"/>
    </w:rPr>
  </w:style>
  <w:style w:type="character" w:customStyle="1" w:styleId="BoldandItalics">
    <w:name w:val="Bold and Italics"/>
    <w:qFormat/>
    <w:rsid w:val="00A83540"/>
    <w:rPr>
      <w:b/>
      <w:i/>
      <w:u w:val="none"/>
    </w:rPr>
  </w:style>
  <w:style w:type="paragraph" w:styleId="BalloonText">
    <w:name w:val="Balloon Text"/>
    <w:basedOn w:val="Normal"/>
    <w:link w:val="BalloonTextChar"/>
    <w:rsid w:val="00A83540"/>
    <w:rPr>
      <w:rFonts w:ascii="Tahoma" w:hAnsi="Tahoma" w:cs="Tahoma"/>
      <w:sz w:val="16"/>
      <w:szCs w:val="16"/>
    </w:rPr>
  </w:style>
  <w:style w:type="character" w:customStyle="1" w:styleId="BalloonTextChar">
    <w:name w:val="Balloon Text Char"/>
    <w:basedOn w:val="DefaultParagraphFont"/>
    <w:link w:val="BalloonText"/>
    <w:rsid w:val="00A835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5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5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540"/>
    <w:rPr>
      <w:b/>
      <w:color w:val="660033"/>
      <w:spacing w:val="0"/>
    </w:rPr>
  </w:style>
  <w:style w:type="paragraph" w:customStyle="1" w:styleId="Nameditemlist">
    <w:name w:val="Named item list"/>
    <w:basedOn w:val="BodyText"/>
    <w:qFormat/>
    <w:rsid w:val="00A83540"/>
    <w:pPr>
      <w:tabs>
        <w:tab w:val="left" w:pos="2835"/>
      </w:tabs>
      <w:ind w:left="2835" w:hanging="2835"/>
    </w:pPr>
  </w:style>
  <w:style w:type="paragraph" w:customStyle="1" w:styleId="BodyTextnopadding">
    <w:name w:val="Body Text no padding"/>
    <w:basedOn w:val="BodyText"/>
    <w:qFormat/>
    <w:rsid w:val="00A83540"/>
    <w:pPr>
      <w:spacing w:before="0" w:after="0"/>
    </w:pPr>
  </w:style>
  <w:style w:type="paragraph" w:customStyle="1" w:styleId="BodyTextBold">
    <w:name w:val="Body Text Bold"/>
    <w:basedOn w:val="BodyText"/>
    <w:qFormat/>
    <w:rsid w:val="00A83540"/>
    <w:rPr>
      <w:b/>
    </w:rPr>
  </w:style>
  <w:style w:type="character" w:styleId="Hyperlink">
    <w:name w:val="Hyperlink"/>
    <w:basedOn w:val="DefaultParagraphFont"/>
    <w:uiPriority w:val="99"/>
    <w:unhideWhenUsed/>
    <w:rsid w:val="00FA1A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5822</Characters>
  <Application>Microsoft Office Word</Application>
  <DocSecurity>0</DocSecurity>
  <Lines>145</Lines>
  <Paragraphs>97</Paragraphs>
  <ScaleCrop>false</ScaleCrop>
  <Company>Author-it Software Corporation Ltd.</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RIINHB412D Construct geothermal wells</dc:title>
  <dc:subject>Approved</dc:subject>
  <dc:creator>PwC’s Skills for Australia</dc:creator>
  <cp:keywords>Release: 2</cp:keywords>
  <dc:description>Review Date: 12 April 2008</dc:description>
  <cp:lastModifiedBy>HSD_TPCMSd.prod</cp:lastModifiedBy>
  <cp:revision>3</cp:revision>
  <dcterms:created xsi:type="dcterms:W3CDTF">2022-10-18T13:55:00Z</dcterms:created>
  <dcterms:modified xsi:type="dcterms:W3CDTF">2022-10-18T13:55:00Z</dcterms:modified>
</cp:coreProperties>
</file>