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39A8" w:rsidP="000E39A8">
      <w:pPr>
        <w:pStyle w:val="Title"/>
      </w:pPr>
      <w:r>
        <w:fldChar w:fldCharType="begin"/>
      </w:r>
      <w:r>
        <w:instrText xml:space="preserve"> TITLE   \* MERGEFORMAT </w:instrText>
      </w:r>
      <w:r>
        <w:fldChar w:fldCharType="separate"/>
      </w:r>
      <w:r>
        <w:t>Assessment Requirements for RIINHB411D Construct artesian (flowing) aquifer production bores</w:t>
      </w:r>
      <w:r>
        <w:fldChar w:fldCharType="end"/>
      </w:r>
    </w:p>
    <w:p w:rsidR="000E39A8" w:rsidP="000E39A8">
      <w:pPr>
        <w:pStyle w:val="Version"/>
        <w:sectPr w:rsidSect="00D54D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54D55" w:rsidP="00D54D55">
      <w:pPr>
        <w:pStyle w:val="SuperHeading"/>
      </w:pPr>
      <w:r w:rsidRPr="00D54D55">
        <w:t>Assessment Requirements for RIINHB411D Construct artesian (flowing) aquifer production bores</w:t>
      </w:r>
    </w:p>
    <w:p w:rsidR="00000000" w:rsidRPr="00D54D55" w:rsidP="00D54D55">
      <w:pPr>
        <w:pStyle w:val="Heading1"/>
      </w:pPr>
      <w:bookmarkStart w:id="1" w:name="O_690636"/>
      <w:bookmarkEnd w:id="1"/>
      <w:r w:rsidRPr="00D54D55">
        <w:t>Modification History</w:t>
      </w:r>
    </w:p>
    <w:tbl>
      <w:tblPr>
        <w:tblW w:w="0" w:type="auto"/>
        <w:tblCellMar>
          <w:left w:w="62" w:type="dxa"/>
          <w:right w:w="62" w:type="dxa"/>
        </w:tblCellMar>
        <w:tblLook w:val="0000"/>
      </w:tblPr>
      <w:tblGrid>
        <w:gridCol w:w="1107"/>
        <w:gridCol w:w="8089"/>
      </w:tblGrid>
      <w:tr w:rsidTr="000E3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D55">
            <w:pPr>
              <w:pStyle w:val="Heading4"/>
              <w:rPr>
                <w:lang w:val="en-NZ"/>
              </w:rPr>
            </w:pPr>
            <w:r w:rsidRPr="00D54D5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D55">
            <w:pPr>
              <w:pStyle w:val="Heading4"/>
              <w:rPr>
                <w:lang w:val="en-NZ"/>
              </w:rPr>
            </w:pPr>
            <w:r w:rsidRPr="00D54D55">
              <w:t>Comment</w:t>
            </w:r>
          </w:p>
        </w:tc>
      </w:tr>
      <w:tr w:rsidTr="000E3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D55">
            <w:pPr>
              <w:pStyle w:val="BodyText"/>
              <w:rPr>
                <w:lang w:val="en-NZ"/>
              </w:rPr>
            </w:pPr>
            <w:r w:rsidRPr="00D54D5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D55">
            <w:pPr>
              <w:pStyle w:val="BodyText"/>
              <w:rPr>
                <w:lang w:val="en-NZ"/>
              </w:rPr>
            </w:pPr>
            <w:r w:rsidRPr="00D54D55">
              <w:t>This unit replaces RIINHB411A Construct artesian (flowing) aquifer production bores</w:t>
            </w:r>
          </w:p>
        </w:tc>
      </w:tr>
      <w:tr w:rsidTr="000E39A8">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54D55">
            <w:pPr>
              <w:pStyle w:val="BodyText"/>
              <w:rPr>
                <w:lang w:val="en-NZ"/>
              </w:rPr>
            </w:pPr>
            <w:r w:rsidRPr="00D54D5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54D55" w:rsidP="00D54D55">
            <w:pPr>
              <w:pStyle w:val="BodyText"/>
            </w:pPr>
            <w:r w:rsidRPr="00D54D55">
              <w:t>Required frequency and volume of evidence amended in Performance evidence.</w:t>
            </w:r>
          </w:p>
          <w:p w:rsidR="00000000" w:rsidRPr="00D54D55" w:rsidP="00D54D55">
            <w:pPr>
              <w:pStyle w:val="BodyText"/>
            </w:pPr>
            <w:r w:rsidRPr="00D54D55">
              <w:t>Substantial amendments made in Assessment Conditions field, including: references to Industry Sectors, assessor and subject matter expert experience requirements, how assessment sho</w:t>
            </w:r>
            <w:r w:rsidRPr="00D54D55">
              <w:t>uld be conducted and what it should confirm.</w:t>
            </w:r>
          </w:p>
        </w:tc>
      </w:tr>
    </w:tbl>
    <w:p w:rsidR="00000000" w:rsidRPr="00D54D55" w:rsidP="00D54D55">
      <w:pPr>
        <w:pStyle w:val="BodyText"/>
      </w:pPr>
    </w:p>
    <w:p w:rsidR="00000000" w:rsidRPr="00D54D55" w:rsidP="00D54D55">
      <w:pPr>
        <w:pStyle w:val="AllowPageBreak"/>
      </w:pPr>
    </w:p>
    <w:p w:rsidR="00000000" w:rsidRPr="00D54D55" w:rsidP="00D54D55">
      <w:pPr>
        <w:pStyle w:val="Heading1"/>
      </w:pPr>
      <w:bookmarkStart w:id="2" w:name="O_690635"/>
      <w:bookmarkEnd w:id="2"/>
      <w:r w:rsidRPr="00D54D55">
        <w:t>Performance Evidence</w:t>
      </w:r>
    </w:p>
    <w:p w:rsidR="00000000" w:rsidRPr="00D54D55" w:rsidP="000E39A8">
      <w:pPr>
        <w:pStyle w:val="BodyText"/>
      </w:pPr>
      <w:r w:rsidRPr="00D54D55">
        <w:t>Evidence is required to be collected that demonstrates a candidate’s competency in this unit. Evidence must be relevant to the roles within this sector’s work operations a</w:t>
      </w:r>
      <w:r w:rsidRPr="00D54D55">
        <w:t>nd satisfy all of the requirements of the performance criteria of this unit and include evidence that the candidate:</w:t>
      </w:r>
    </w:p>
    <w:p w:rsidR="00000000" w:rsidRPr="00D54D55" w:rsidP="00D54D55">
      <w:pPr>
        <w:pStyle w:val="ListBullet2"/>
      </w:pPr>
      <w:r w:rsidRPr="00D54D55">
        <w:t>locates and applies relevant legislation, documentation, policies and procedures</w:t>
      </w:r>
    </w:p>
    <w:p w:rsidR="00000000" w:rsidRPr="00D54D55" w:rsidP="00D54D55">
      <w:pPr>
        <w:pStyle w:val="ListBullet2"/>
      </w:pPr>
      <w:r w:rsidRPr="00D54D55">
        <w:t>works effectively with others to plan, prepare and conduct the construction of artesian (flowing) aquifer production bores including:</w:t>
      </w:r>
    </w:p>
    <w:p w:rsidR="00000000" w:rsidRPr="00D54D55" w:rsidP="00D54D55">
      <w:pPr>
        <w:pStyle w:val="ListBullet3"/>
      </w:pPr>
      <w:r w:rsidRPr="00D54D55">
        <w:t>communicating clear and timely instructions to those involved</w:t>
      </w:r>
    </w:p>
    <w:p w:rsidR="00000000" w:rsidRPr="00D54D55" w:rsidP="00D54D55">
      <w:pPr>
        <w:pStyle w:val="ListBullet3"/>
      </w:pPr>
      <w:r w:rsidRPr="00D54D55">
        <w:t>preparing for and conducting briefings, toolbox and site me</w:t>
      </w:r>
      <w:r w:rsidRPr="00D54D55">
        <w:t>etings</w:t>
      </w:r>
    </w:p>
    <w:p w:rsidR="00000000" w:rsidRPr="00D54D55" w:rsidP="00D54D55">
      <w:pPr>
        <w:pStyle w:val="ListBullet3"/>
      </w:pPr>
      <w:r w:rsidRPr="00D54D55">
        <w:t>maintaining clear and legible written records and the reports</w:t>
      </w:r>
    </w:p>
    <w:p w:rsidR="00000000" w:rsidRPr="00D54D55" w:rsidP="00D54D55">
      <w:pPr>
        <w:pStyle w:val="ListBullet"/>
      </w:pPr>
      <w:r w:rsidRPr="00D54D55">
        <w:t>demonstrates completion of the construction of artesian (flowing) aquifer production bores that safely, effectively and efficiently meets all of the required outcomes on more than one (1</w:t>
      </w:r>
      <w:r w:rsidRPr="00D54D55">
        <w:t>) occasion including:</w:t>
      </w:r>
    </w:p>
    <w:p w:rsidR="00000000" w:rsidRPr="00D54D55" w:rsidP="00D54D55">
      <w:pPr>
        <w:pStyle w:val="ListBullet3"/>
      </w:pPr>
      <w:r w:rsidRPr="00D54D55">
        <w:t>designing the bore to ensure the exclusion of unsuitable waters</w:t>
      </w:r>
    </w:p>
    <w:p w:rsidR="00000000" w:rsidRPr="00D54D55" w:rsidP="00D54D55">
      <w:pPr>
        <w:pStyle w:val="ListBullet3"/>
      </w:pPr>
      <w:r w:rsidRPr="00D54D55">
        <w:t xml:space="preserve">selecting a bore site that will prevent contamination and minimise interference with other bores and adhere to occupational health and safety requirements </w:t>
      </w:r>
    </w:p>
    <w:p w:rsidR="00000000" w:rsidRPr="00D54D55" w:rsidP="00D54D55">
      <w:pPr>
        <w:pStyle w:val="ListBullet3"/>
      </w:pPr>
      <w:r w:rsidRPr="00D54D55">
        <w:t>selecting likely water entry mechanism from the formation to the bore such as open hole, slotted casing screens, gravel packs</w:t>
      </w:r>
    </w:p>
    <w:p w:rsidR="00000000" w:rsidRPr="00D54D55" w:rsidP="00D54D55">
      <w:pPr>
        <w:pStyle w:val="ListBullet3"/>
      </w:pPr>
      <w:r w:rsidRPr="00D54D55">
        <w:t>assembling and inserting casing and screens</w:t>
      </w:r>
    </w:p>
    <w:p w:rsidR="00000000" w:rsidRPr="00D54D55" w:rsidP="00D54D55">
      <w:pPr>
        <w:pStyle w:val="ListBullet3"/>
      </w:pPr>
      <w:r w:rsidRPr="00D54D55">
        <w:t>completing grouting operations to seal intermediate and/or inner production casing str</w:t>
      </w:r>
      <w:r w:rsidRPr="00D54D55">
        <w:t>ings with a 15mm minimum thickness grout sheath or to seal selected zones so that the water from the production bore is drawn from one primary formation only, (unless otherwise allowed by the permit)</w:t>
      </w:r>
    </w:p>
    <w:p w:rsidR="00000000" w:rsidRPr="00D54D55" w:rsidP="00D54D55">
      <w:pPr>
        <w:pStyle w:val="ListBullet3"/>
      </w:pPr>
      <w:r w:rsidRPr="00D54D55">
        <w:t>maintaining plumbness and alignment of the hole within t</w:t>
      </w:r>
      <w:r w:rsidRPr="00D54D55">
        <w:t>he required limitations</w:t>
      </w:r>
    </w:p>
    <w:p w:rsidR="00000000" w:rsidRPr="00D54D55" w:rsidP="00D54D55">
      <w:pPr>
        <w:pStyle w:val="ListBullet3"/>
      </w:pPr>
      <w:r w:rsidRPr="00D54D55">
        <w:t>continuing development until a continuous, clean supply of water is obtained, in accordance with site, contractual or regulatory requirements</w:t>
      </w:r>
    </w:p>
    <w:p w:rsidR="00000000" w:rsidRPr="00D54D55" w:rsidP="00D54D55">
      <w:pPr>
        <w:pStyle w:val="ListBullet3"/>
      </w:pPr>
      <w:r w:rsidRPr="00D54D55">
        <w:t>performing pump and development tests to estimate the sand content and sustainable yield o</w:t>
      </w:r>
      <w:r w:rsidRPr="00D54D55">
        <w:t>f the bore</w:t>
      </w:r>
    </w:p>
    <w:p w:rsidR="00000000" w:rsidRPr="00D54D55" w:rsidP="00D54D55">
      <w:pPr>
        <w:pStyle w:val="AllowPageBreak"/>
      </w:pPr>
    </w:p>
    <w:p w:rsidR="00000000" w:rsidRPr="00D54D55" w:rsidP="00D54D55">
      <w:pPr>
        <w:pStyle w:val="Heading1"/>
      </w:pPr>
      <w:bookmarkStart w:id="3" w:name="O_690634"/>
      <w:bookmarkEnd w:id="3"/>
      <w:r w:rsidRPr="00D54D55">
        <w:t>Knowledge Evidence</w:t>
      </w:r>
    </w:p>
    <w:p w:rsidR="00000000" w:rsidRPr="00D54D55" w:rsidP="000E39A8">
      <w:pPr>
        <w:pStyle w:val="BodyText"/>
      </w:pPr>
      <w:r w:rsidRPr="00D54D55">
        <w:t>The candidate must demonstrate knowledge in constructing artesian (flowing) aquifer production bores through:</w:t>
      </w:r>
    </w:p>
    <w:p w:rsidR="00000000" w:rsidRPr="00D54D55" w:rsidP="00D54D55">
      <w:pPr>
        <w:pStyle w:val="ListBullet2"/>
      </w:pPr>
      <w:r w:rsidRPr="00D54D55">
        <w:t>accessing, interpreting and applying legislative, organization and site requirement and procedures</w:t>
      </w:r>
      <w:r w:rsidRPr="00D54D55">
        <w:t xml:space="preserve"> for:</w:t>
      </w:r>
    </w:p>
    <w:p w:rsidR="00000000" w:rsidRPr="00D54D55" w:rsidP="00D54D55">
      <w:pPr>
        <w:pStyle w:val="ListBullet3"/>
      </w:pPr>
      <w:r w:rsidRPr="00D54D55">
        <w:t>work, health and safety</w:t>
      </w:r>
    </w:p>
    <w:p w:rsidR="00000000" w:rsidRPr="00D54D55" w:rsidP="00D54D55">
      <w:pPr>
        <w:pStyle w:val="ListBullet3"/>
      </w:pPr>
      <w:r w:rsidRPr="00D54D55">
        <w:t>environmental issues</w:t>
      </w:r>
    </w:p>
    <w:p w:rsidR="00000000" w:rsidRPr="00D54D55" w:rsidP="00D54D55">
      <w:pPr>
        <w:pStyle w:val="ListBullet3"/>
      </w:pPr>
      <w:r w:rsidRPr="00D54D55">
        <w:t>operating drill rig</w:t>
      </w:r>
    </w:p>
    <w:p w:rsidR="00000000" w:rsidRPr="00D54D55" w:rsidP="00D54D55">
      <w:pPr>
        <w:pStyle w:val="ListBullet3"/>
      </w:pPr>
      <w:r w:rsidRPr="00D54D55">
        <w:t>housekeeping</w:t>
      </w:r>
    </w:p>
    <w:p w:rsidR="00000000" w:rsidRPr="00D54D55" w:rsidP="00D54D55">
      <w:pPr>
        <w:pStyle w:val="ListBullet2"/>
      </w:pPr>
      <w:r w:rsidRPr="00D54D55">
        <w:t>the equipment characteristics, technical capabilities and limitations</w:t>
      </w:r>
    </w:p>
    <w:p w:rsidR="00000000" w:rsidRPr="00D54D55" w:rsidP="00D54D55">
      <w:pPr>
        <w:pStyle w:val="ListBullet2"/>
      </w:pPr>
      <w:r w:rsidRPr="00D54D55">
        <w:t>the basic geological formation</w:t>
      </w:r>
      <w:r w:rsidRPr="00D54D55">
        <w:t>s, i.e. basic knowledge of both soil and rock classifications and various formations which permit groundwater movement and factors affecting groundwater quality for aquifer systems, including drillability and stability</w:t>
      </w:r>
    </w:p>
    <w:p w:rsidR="00000000" w:rsidRPr="00D54D55" w:rsidP="00D54D55">
      <w:pPr>
        <w:pStyle w:val="ListBullet2"/>
      </w:pPr>
      <w:r w:rsidRPr="00D54D55">
        <w:t xml:space="preserve">potential safety hazards and sources </w:t>
      </w:r>
      <w:r w:rsidRPr="00D54D55">
        <w:t>of contamination when siting a bore</w:t>
      </w:r>
    </w:p>
    <w:p w:rsidR="00000000" w:rsidRPr="00D54D55" w:rsidP="00D54D55">
      <w:pPr>
        <w:pStyle w:val="ListBullet2"/>
      </w:pPr>
      <w:r w:rsidRPr="00D54D55">
        <w:t>the necessity of having a signed agreement/contract with the client</w:t>
      </w:r>
    </w:p>
    <w:p w:rsidR="00000000" w:rsidRPr="00D54D55" w:rsidP="00D54D55">
      <w:pPr>
        <w:pStyle w:val="ListBullet2"/>
      </w:pPr>
      <w:r w:rsidRPr="00D54D55">
        <w:t>testing for alignment and plumbness of bores</w:t>
      </w:r>
    </w:p>
    <w:p w:rsidR="00000000" w:rsidRPr="00D54D55" w:rsidP="00D54D55">
      <w:pPr>
        <w:pStyle w:val="ListBullet2"/>
      </w:pPr>
      <w:r w:rsidRPr="00D54D55">
        <w:t>the appropriate casing materials for various applications</w:t>
      </w:r>
    </w:p>
    <w:p w:rsidR="00000000" w:rsidRPr="00D54D55" w:rsidP="00D54D55">
      <w:pPr>
        <w:pStyle w:val="ListBullet2"/>
      </w:pPr>
      <w:r w:rsidRPr="00D54D55">
        <w:t>the applications for wire-wound screens</w:t>
      </w:r>
    </w:p>
    <w:p w:rsidR="00000000" w:rsidRPr="00D54D55" w:rsidP="00D54D55">
      <w:pPr>
        <w:pStyle w:val="ListBullet2"/>
      </w:pPr>
      <w:r w:rsidRPr="00D54D55">
        <w:t>screen de</w:t>
      </w:r>
      <w:r w:rsidRPr="00D54D55">
        <w:t>sign parameters to ensure appropriate entrance velocities</w:t>
      </w:r>
    </w:p>
    <w:p w:rsidR="00000000" w:rsidRPr="00D54D55" w:rsidP="00D54D55">
      <w:pPr>
        <w:pStyle w:val="ListBullet2"/>
      </w:pPr>
      <w:r w:rsidRPr="00D54D55">
        <w:t>interpretation of sieve analysis results</w:t>
      </w:r>
    </w:p>
    <w:p w:rsidR="00000000" w:rsidRPr="00D54D55" w:rsidP="00D54D55">
      <w:pPr>
        <w:pStyle w:val="ListBullet2"/>
      </w:pPr>
      <w:r w:rsidRPr="00D54D55">
        <w:t>applications for natural pack, stabilising fill and artificial pack completion techniques</w:t>
      </w:r>
    </w:p>
    <w:p w:rsidR="00000000" w:rsidRPr="00D54D55" w:rsidP="00D54D55">
      <w:pPr>
        <w:pStyle w:val="ListBullet2"/>
      </w:pPr>
      <w:r w:rsidRPr="00D54D55">
        <w:t>objectives of bore development</w:t>
      </w:r>
    </w:p>
    <w:p w:rsidR="00000000" w:rsidRPr="00D54D55" w:rsidP="00D54D55">
      <w:pPr>
        <w:pStyle w:val="ListBullet2"/>
      </w:pPr>
      <w:r w:rsidRPr="00D54D55">
        <w:t>identifying and applying appropriate</w:t>
      </w:r>
      <w:r w:rsidRPr="00D54D55">
        <w:t xml:space="preserve"> headworks design for class 3 bore applications</w:t>
      </w:r>
    </w:p>
    <w:p w:rsidR="00000000" w:rsidRPr="00D54D55" w:rsidP="00D54D55">
      <w:pPr>
        <w:pStyle w:val="ListBullet2"/>
      </w:pPr>
      <w:r w:rsidRPr="00D54D55">
        <w:t>characteristics of ‘good samples’ required for water well construction</w:t>
      </w:r>
    </w:p>
    <w:p w:rsidR="00000000" w:rsidRPr="00D54D55" w:rsidP="00D54D55">
      <w:pPr>
        <w:pStyle w:val="ListBullet2"/>
      </w:pPr>
      <w:r w:rsidRPr="00D54D55">
        <w:t>ways in which sampling errors can occur</w:t>
      </w:r>
    </w:p>
    <w:p w:rsidR="00000000" w:rsidRPr="00D54D55" w:rsidP="00D54D55">
      <w:pPr>
        <w:pStyle w:val="ListBullet2"/>
      </w:pPr>
      <w:r w:rsidRPr="00D54D55">
        <w:t>types of drilling fluids, their selection, use, testing and conditioning</w:t>
      </w:r>
    </w:p>
    <w:p w:rsidR="00000000" w:rsidRPr="00D54D55" w:rsidP="00D54D55">
      <w:pPr>
        <w:pStyle w:val="ListBullet2"/>
      </w:pPr>
      <w:r w:rsidRPr="00D54D55">
        <w:t>grout placement methods and procedures including pressure grouting</w:t>
      </w:r>
    </w:p>
    <w:p w:rsidR="00000000" w:rsidRPr="00D54D55" w:rsidP="00D54D55">
      <w:pPr>
        <w:pStyle w:val="ListBullet2"/>
      </w:pPr>
      <w:r w:rsidRPr="00D54D55">
        <w:t>using a range of numerical calculations</w:t>
      </w:r>
    </w:p>
    <w:p w:rsidR="00000000" w:rsidRPr="00D54D55" w:rsidP="00D54D55">
      <w:pPr>
        <w:pStyle w:val="ListBullet2"/>
      </w:pPr>
      <w:r w:rsidRPr="00D54D55">
        <w:t>appropriate fishing operations for the type(s) of drilling being undertaken</w:t>
      </w:r>
    </w:p>
    <w:p w:rsidR="00000000" w:rsidRPr="00D54D55" w:rsidP="00D54D55">
      <w:pPr>
        <w:pStyle w:val="ListBullet2"/>
      </w:pPr>
      <w:r w:rsidRPr="00D54D55">
        <w:t>materials safety data sheets (MSDS)</w:t>
      </w:r>
    </w:p>
    <w:p w:rsidR="00000000" w:rsidRPr="00D54D55" w:rsidP="00D54D55">
      <w:pPr>
        <w:pStyle w:val="ListBullet2"/>
      </w:pPr>
      <w:r w:rsidRPr="00D54D55">
        <w:t>being prepared for fire/accident/emer</w:t>
      </w:r>
      <w:r w:rsidRPr="00D54D55">
        <w:t>gency</w:t>
      </w:r>
    </w:p>
    <w:p w:rsidR="00000000" w:rsidRPr="00D54D55" w:rsidP="00D54D55">
      <w:pPr>
        <w:pStyle w:val="AllowPageBreak"/>
      </w:pPr>
    </w:p>
    <w:p w:rsidR="00000000" w:rsidRPr="00D54D55" w:rsidP="00D54D55">
      <w:pPr>
        <w:pStyle w:val="Heading1"/>
      </w:pPr>
      <w:bookmarkStart w:id="4" w:name="O_690633"/>
      <w:bookmarkEnd w:id="4"/>
      <w:r w:rsidRPr="00D54D55">
        <w:t>Assessment Conditions</w:t>
      </w:r>
    </w:p>
    <w:p w:rsidR="00000000" w:rsidRPr="00D54D55" w:rsidP="00D54D55">
      <w:pPr>
        <w:pStyle w:val="ListBullet"/>
      </w:pPr>
      <w:r w:rsidRPr="00D54D55">
        <w:t xml:space="preserve">An assessor of this unit must satisfy the requirements of the NVR/AQTF or their successors; and Industry regulations for certification and licensing; and, </w:t>
      </w:r>
    </w:p>
    <w:p w:rsidR="00000000" w:rsidRPr="00D54D55" w:rsidP="00D54D55">
      <w:pPr>
        <w:pStyle w:val="ListBullet"/>
      </w:pPr>
      <w:r w:rsidRPr="00D54D55">
        <w:t>this unit must be assessed in the context of this sect</w:t>
      </w:r>
      <w:r w:rsidRPr="00D54D55">
        <w:t>or’s work environment; and,</w:t>
      </w:r>
    </w:p>
    <w:p w:rsidR="00000000" w:rsidRPr="00D54D55" w:rsidP="00D54D55">
      <w:pPr>
        <w:pStyle w:val="ListBullet"/>
      </w:pPr>
      <w:r w:rsidRPr="00D54D55">
        <w:t>this unit must be assessed in compliance with relevant legislation/regulation and using policies, procedures, processes and operational manuals directly related to the industry sector for which it is being assessed; and,</w:t>
      </w:r>
    </w:p>
    <w:p w:rsidR="00000000" w:rsidRPr="00D54D55" w:rsidP="00D54D55">
      <w:pPr>
        <w:pStyle w:val="ListBullet"/>
      </w:pPr>
      <w:r w:rsidRPr="00D54D55">
        <w:t>assessm</w:t>
      </w:r>
      <w:r w:rsidRPr="00D54D55">
        <w:t>ent may be conducted in conjunction with the assessment of other Units of Competency; and,</w:t>
      </w:r>
    </w:p>
    <w:p w:rsidR="00000000" w:rsidRPr="00D54D55" w:rsidP="00D54D55">
      <w:pPr>
        <w:pStyle w:val="ListBullet"/>
      </w:pPr>
      <w:r w:rsidRPr="00D54D55">
        <w:t>assessment must confirm consistent performance can be applied in a range of relevant workplace circumstances; and,</w:t>
      </w:r>
    </w:p>
    <w:p w:rsidR="00000000" w:rsidRPr="00D54D55" w:rsidP="00D54D55">
      <w:pPr>
        <w:pStyle w:val="ListBullet"/>
      </w:pPr>
      <w:r w:rsidRPr="00D54D55">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54D55" w:rsidP="00D54D55">
      <w:pPr>
        <w:pStyle w:val="ListBullet"/>
      </w:pPr>
      <w:r w:rsidRPr="00D54D55">
        <w:t>wh</w:t>
      </w:r>
      <w:r w:rsidRPr="00D54D55">
        <w:t>ere the assessor does not meet experience requirements a co-assessment or partnership arrangement must exist between the qualified assessor and an Industry subject matter expert. The Industry subject matter expert should hold the unit being assessed (or an</w:t>
      </w:r>
      <w:r w:rsidRPr="00D54D55">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D54D55">
        <w:t>cluding time spent in roles related to the unit being assessed; and,</w:t>
      </w:r>
    </w:p>
    <w:p w:rsidR="00000000" w:rsidRPr="00D54D55" w:rsidP="00D54D55">
      <w:pPr>
        <w:pStyle w:val="ListBullet"/>
      </w:pPr>
      <w:r w:rsidRPr="00D54D55">
        <w:t>assessor and Industry subject matter expert requirements differ depending on the Australian Qualifications Framework Level (AQF) of the qualification being assessed and/or Industry Sector</w:t>
      </w:r>
      <w:r w:rsidRPr="00D54D55">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D54D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Heading4"/>
              <w:rPr>
                <w:lang w:val="en-NZ"/>
              </w:rPr>
            </w:pPr>
            <w:r w:rsidRPr="00D54D5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Heading4"/>
              <w:rPr>
                <w:lang w:val="en-NZ"/>
              </w:rPr>
            </w:pPr>
            <w:r w:rsidRPr="00D54D5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Heading4"/>
              <w:rPr>
                <w:lang w:val="en-NZ"/>
              </w:rPr>
            </w:pPr>
            <w:r w:rsidRPr="00D54D55">
              <w:t>Required assessor or Industry subject matter expert experience</w:t>
            </w:r>
          </w:p>
        </w:tc>
      </w:tr>
      <w:tr w:rsidTr="00D54D5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1 Year</w:t>
            </w:r>
          </w:p>
        </w:tc>
      </w:tr>
      <w:tr w:rsidTr="00D54D5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2 Years</w:t>
            </w:r>
          </w:p>
        </w:tc>
      </w:tr>
      <w:tr w:rsidTr="00D54D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3 Years</w:t>
            </w:r>
          </w:p>
        </w:tc>
      </w:tr>
      <w:tr w:rsidTr="00D54D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5 Years</w:t>
            </w:r>
          </w:p>
        </w:tc>
      </w:tr>
      <w:tr w:rsidTr="00D54D5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54D55">
            <w:pPr>
              <w:pStyle w:val="BodyText"/>
              <w:rPr>
                <w:lang w:val="en-NZ"/>
              </w:rPr>
            </w:pPr>
            <w:r w:rsidRPr="00D54D5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54D55" w:rsidP="00D54D55">
            <w:pPr>
              <w:pStyle w:val="BodyText"/>
            </w:pPr>
            <w:r w:rsidRPr="00D54D55">
              <w:t>Where this Unit is being assessed</w:t>
            </w:r>
            <w:r w:rsidRPr="00D54D55">
              <w:t xml:space="preserve"> outside of the Resources and Infrastructure Sectors assessor and/or Industry subject matter expert experience should be in-line with industry standards for the sector in which it is being assessed and where no Industry standard is specified should comply </w:t>
            </w:r>
            <w:r w:rsidRPr="00D54D55">
              <w:t>with any relevant regulation.</w:t>
            </w:r>
          </w:p>
        </w:tc>
      </w:tr>
    </w:tbl>
    <w:p w:rsidR="00000000" w:rsidRPr="00D54D55" w:rsidP="000E39A8">
      <w:pPr>
        <w:pStyle w:val="BodyText"/>
      </w:pPr>
      <w:r w:rsidRPr="00D54D55">
        <w:t>*Assessors can demonstrate current work experience through employment within Industry in a role relevant to the outcomes of the Unit; or, for external assessors this can be demonstrated through exposure to Industry by conduc</w:t>
      </w:r>
      <w:r w:rsidRPr="00D54D55">
        <w:t>ting frequent site assessments across various locations.</w:t>
      </w:r>
    </w:p>
    <w:p w:rsidR="000E39A8" w:rsidP="000E39A8">
      <w:pPr>
        <w:pStyle w:val="BodyText"/>
      </w:pPr>
      <w:r w:rsidRPr="00D54D55">
        <w:t>**Where a unit is being delivered outside of a Qualification the first numeric character in the Unit code should be considered to indicate the AQF level</w:t>
      </w:r>
    </w:p>
    <w:p w:rsidR="00000000" w:rsidRPr="00D54D55" w:rsidP="00D54D55">
      <w:pPr>
        <w:pStyle w:val="Heading1"/>
      </w:pPr>
      <w:bookmarkStart w:id="5" w:name="O_690658"/>
      <w:bookmarkEnd w:id="5"/>
      <w:r w:rsidRPr="00D54D55">
        <w:t>Links</w:t>
      </w:r>
    </w:p>
    <w:p w:rsidR="00000000" w:rsidRPr="00D54D55" w:rsidP="000E39A8">
      <w:pPr>
        <w:pStyle w:val="BodyText"/>
      </w:pPr>
      <w:r w:rsidRPr="00D54D55">
        <w:t>Companion Volume imple</w:t>
      </w:r>
      <w:r w:rsidRPr="00D54D55">
        <w:t xml:space="preserve">mentation guides are found in VETNet - </w:t>
      </w:r>
      <w:r>
        <w:fldChar w:fldCharType="begin"/>
      </w:r>
      <w:r>
        <w:instrText xml:space="preserve"> HYPERLINK "https://vetnet.gov.au/Pages/TrainingDocs.aspx?q=88a61002-9a21-4386-aaf8-69c76e675272" </w:instrText>
      </w:r>
      <w:r>
        <w:fldChar w:fldCharType="separate"/>
      </w:r>
      <w:r w:rsidRPr="00CD5171">
        <w:rPr>
          <w:rStyle w:val="Hyperlink"/>
        </w:rPr>
        <w:t>https://vetnet.gov.au/Pages/TrainingDocs.aspx?q=88a61002-9a21-4386-aaf8-69c76e675272</w:t>
      </w:r>
      <w:r>
        <w:fldChar w:fldCharType="end"/>
      </w:r>
    </w:p>
    <w:p w:rsidR="00000000" w:rsidRPr="00D54D55" w:rsidP="00D54D55"/>
    <w:sectPr w:rsidSect="00D54D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55" w:rsidRPr="000E39A8" w:rsidP="000E39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A8" w:rsidP="00D54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39A8" w:rsidP="00D54D5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0E39A8" w:rsidP="00D54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4D55" w:rsidRPr="000E39A8" w:rsidP="000E39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4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9A8" w:rsidRPr="002D2AF8" w:rsidP="00D54D55">
    <w:pPr>
      <w:pStyle w:val="Header"/>
      <w:framePr w:wrap="around"/>
    </w:pPr>
    <w:r>
      <w:fldChar w:fldCharType="begin"/>
    </w:r>
    <w:r>
      <w:instrText xml:space="preserve"> TITLE   \* MERGEFORMAT </w:instrText>
    </w:r>
    <w:r>
      <w:fldChar w:fldCharType="separate"/>
    </w:r>
    <w:r>
      <w:t>Assessment Requirements for RIINHB411D Construct artesian (flowing) aquifer production bores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2020</w:t>
    </w:r>
    <w:r>
      <w:fldChar w:fldCharType="end"/>
    </w:r>
  </w:p>
  <w:p w:rsidR="000E39A8" w:rsidP="00D54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02E6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044E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47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4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4D55"/>
    <w:pPr>
      <w:spacing w:before="360" w:after="60"/>
      <w:outlineLvl w:val="0"/>
    </w:pPr>
    <w:rPr>
      <w:sz w:val="32"/>
    </w:rPr>
  </w:style>
  <w:style w:type="paragraph" w:styleId="Heading2">
    <w:name w:val="heading 2"/>
    <w:basedOn w:val="HeadingBase"/>
    <w:next w:val="BodyText"/>
    <w:link w:val="Heading2Char"/>
    <w:qFormat/>
    <w:rsid w:val="00D54D55"/>
    <w:pPr>
      <w:keepLines/>
      <w:spacing w:before="240" w:after="120"/>
      <w:outlineLvl w:val="1"/>
    </w:pPr>
    <w:rPr>
      <w:sz w:val="28"/>
      <w:szCs w:val="40"/>
    </w:rPr>
  </w:style>
  <w:style w:type="paragraph" w:styleId="Heading3">
    <w:name w:val="heading 3"/>
    <w:basedOn w:val="HeadingBase"/>
    <w:next w:val="BodyText"/>
    <w:link w:val="Heading3Char"/>
    <w:qFormat/>
    <w:rsid w:val="00D54D55"/>
    <w:pPr>
      <w:spacing w:before="180" w:after="120"/>
      <w:outlineLvl w:val="2"/>
    </w:pPr>
    <w:rPr>
      <w:spacing w:val="-10"/>
      <w:kern w:val="32"/>
    </w:rPr>
  </w:style>
  <w:style w:type="paragraph" w:styleId="Heading4">
    <w:name w:val="heading 4"/>
    <w:basedOn w:val="HeadingBase"/>
    <w:next w:val="BodyText"/>
    <w:link w:val="Heading4Char"/>
    <w:qFormat/>
    <w:rsid w:val="00D54D55"/>
    <w:pPr>
      <w:spacing w:before="160" w:after="120"/>
      <w:outlineLvl w:val="3"/>
    </w:pPr>
    <w:rPr>
      <w:sz w:val="22"/>
    </w:rPr>
  </w:style>
  <w:style w:type="paragraph" w:styleId="Heading5">
    <w:name w:val="heading 5"/>
    <w:basedOn w:val="HeadingBase"/>
    <w:next w:val="Normal"/>
    <w:link w:val="Heading5Char"/>
    <w:qFormat/>
    <w:rsid w:val="00D54D55"/>
    <w:pPr>
      <w:spacing w:before="80"/>
      <w:outlineLvl w:val="4"/>
    </w:pPr>
    <w:rPr>
      <w:color w:val="918585"/>
      <w:sz w:val="20"/>
    </w:rPr>
  </w:style>
  <w:style w:type="paragraph" w:styleId="Heading6">
    <w:name w:val="heading 6"/>
    <w:basedOn w:val="HeadingBase"/>
    <w:next w:val="Normal"/>
    <w:link w:val="Heading6Char"/>
    <w:qFormat/>
    <w:rsid w:val="00D54D55"/>
    <w:pPr>
      <w:spacing w:before="60"/>
      <w:outlineLvl w:val="5"/>
    </w:pPr>
    <w:rPr>
      <w:color w:val="918585"/>
      <w:sz w:val="20"/>
    </w:rPr>
  </w:style>
  <w:style w:type="paragraph" w:styleId="Heading7">
    <w:name w:val="heading 7"/>
    <w:basedOn w:val="Normal"/>
    <w:next w:val="Normal"/>
    <w:link w:val="Heading7Char"/>
    <w:qFormat/>
    <w:rsid w:val="00D54D55"/>
    <w:pPr>
      <w:ind w:left="720"/>
      <w:outlineLvl w:val="6"/>
    </w:pPr>
    <w:rPr>
      <w:i/>
    </w:rPr>
  </w:style>
  <w:style w:type="paragraph" w:styleId="Heading8">
    <w:name w:val="heading 8"/>
    <w:basedOn w:val="Normal"/>
    <w:next w:val="Normal"/>
    <w:link w:val="Heading8Char"/>
    <w:qFormat/>
    <w:rsid w:val="00D54D55"/>
    <w:pPr>
      <w:ind w:left="720"/>
      <w:outlineLvl w:val="7"/>
    </w:pPr>
    <w:rPr>
      <w:i/>
    </w:rPr>
  </w:style>
  <w:style w:type="paragraph" w:styleId="Heading9">
    <w:name w:val="heading 9"/>
    <w:basedOn w:val="Normal"/>
    <w:next w:val="Normal"/>
    <w:link w:val="Heading9Char"/>
    <w:qFormat/>
    <w:rsid w:val="00D54D55"/>
    <w:pPr>
      <w:ind w:left="720"/>
      <w:outlineLvl w:val="8"/>
    </w:pPr>
    <w:rPr>
      <w:i/>
    </w:rPr>
  </w:style>
  <w:style w:type="character" w:default="1" w:styleId="DefaultParagraphFont">
    <w:name w:val="Default Paragraph Font"/>
    <w:uiPriority w:val="1"/>
    <w:unhideWhenUsed/>
    <w:rsid w:val="00D54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4D55"/>
  </w:style>
  <w:style w:type="character" w:customStyle="1" w:styleId="Heading1Char">
    <w:name w:val="Heading 1 Char"/>
    <w:basedOn w:val="DefaultParagraphFont"/>
    <w:link w:val="Heading1"/>
    <w:rsid w:val="00D54D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54D55"/>
    <w:rPr>
      <w:rFonts w:ascii="Times New Roman" w:eastAsia="Times New Roman" w:hAnsi="Times New Roman" w:cs="Times New Roman"/>
      <w:b/>
      <w:szCs w:val="20"/>
      <w:lang w:eastAsia="en-US"/>
    </w:rPr>
  </w:style>
  <w:style w:type="paragraph" w:styleId="BodyText">
    <w:name w:val="Body Text"/>
    <w:basedOn w:val="Normal"/>
    <w:link w:val="BodyTextChar"/>
    <w:rsid w:val="00D54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4D55"/>
    <w:rPr>
      <w:rFonts w:ascii="Times New Roman" w:eastAsia="Times New Roman" w:hAnsi="Times New Roman" w:cs="Times New Roman"/>
      <w:sz w:val="24"/>
      <w:lang w:eastAsia="en-US"/>
    </w:rPr>
  </w:style>
  <w:style w:type="paragraph" w:styleId="ListBullet">
    <w:name w:val="List Bullet"/>
    <w:basedOn w:val="List"/>
    <w:rsid w:val="00D54D55"/>
    <w:pPr>
      <w:numPr>
        <w:numId w:val="13"/>
      </w:numPr>
      <w:tabs>
        <w:tab w:val="clear" w:pos="340"/>
      </w:tabs>
      <w:spacing w:before="40" w:after="40"/>
    </w:pPr>
  </w:style>
  <w:style w:type="paragraph" w:styleId="ListBullet2">
    <w:name w:val="List Bullet 2"/>
    <w:basedOn w:val="List2"/>
    <w:rsid w:val="00D54D55"/>
    <w:pPr>
      <w:numPr>
        <w:numId w:val="14"/>
      </w:numPr>
      <w:tabs>
        <w:tab w:val="clear" w:pos="680"/>
      </w:tabs>
    </w:pPr>
  </w:style>
  <w:style w:type="paragraph" w:customStyle="1" w:styleId="SuperHeading">
    <w:name w:val="SuperHeading"/>
    <w:basedOn w:val="Normal"/>
    <w:rsid w:val="00D54D55"/>
    <w:pPr>
      <w:spacing w:before="240" w:after="120"/>
      <w:outlineLvl w:val="0"/>
    </w:pPr>
    <w:rPr>
      <w:rFonts w:ascii="Times New Roman" w:hAnsi="Times New Roman"/>
      <w:b/>
      <w:sz w:val="32"/>
    </w:rPr>
  </w:style>
  <w:style w:type="paragraph" w:customStyle="1" w:styleId="AllowPageBreak">
    <w:name w:val="AllowPageBreak"/>
    <w:rsid w:val="00D54D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54D55"/>
    <w:pPr>
      <w:numPr>
        <w:numId w:val="3"/>
      </w:numPr>
      <w:tabs>
        <w:tab w:val="clear" w:pos="1021"/>
      </w:tabs>
      <w:ind w:left="1037" w:hanging="357"/>
    </w:pPr>
  </w:style>
  <w:style w:type="character" w:customStyle="1" w:styleId="Heading2Char">
    <w:name w:val="Heading 2 Char"/>
    <w:basedOn w:val="DefaultParagraphFont"/>
    <w:link w:val="Heading2"/>
    <w:rsid w:val="00D54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4D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54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4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4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4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4D55"/>
    <w:rPr>
      <w:rFonts w:ascii="Courier New" w:eastAsia="Times New Roman" w:hAnsi="Courier New" w:cs="Times New Roman"/>
      <w:i/>
      <w:szCs w:val="20"/>
      <w:lang w:eastAsia="en-US"/>
    </w:rPr>
  </w:style>
  <w:style w:type="paragraph" w:customStyle="1" w:styleId="HeadingBase">
    <w:name w:val="Heading Base"/>
    <w:rsid w:val="00D54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4D55"/>
    <w:pPr>
      <w:tabs>
        <w:tab w:val="right" w:leader="dot" w:pos="9072"/>
      </w:tabs>
      <w:ind w:left="567"/>
    </w:pPr>
    <w:rPr>
      <w:szCs w:val="22"/>
    </w:rPr>
  </w:style>
  <w:style w:type="paragraph" w:customStyle="1" w:styleId="TOCBase">
    <w:name w:val="TOC Base"/>
    <w:rsid w:val="00D54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4D55"/>
    <w:pPr>
      <w:tabs>
        <w:tab w:val="right" w:leader="dot" w:pos="9072"/>
      </w:tabs>
      <w:spacing w:before="40" w:after="40"/>
      <w:ind w:left="284"/>
    </w:pPr>
    <w:rPr>
      <w:rFonts w:ascii="Times New Roman" w:hAnsi="Times New Roman"/>
    </w:rPr>
  </w:style>
  <w:style w:type="paragraph" w:styleId="TOC1">
    <w:name w:val="toc 1"/>
    <w:basedOn w:val="TOCBase"/>
    <w:next w:val="Normal"/>
    <w:rsid w:val="00D54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4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4D55"/>
    <w:rPr>
      <w:rFonts w:ascii="Times New Roman" w:eastAsia="Times New Roman" w:hAnsi="Times New Roman" w:cs="Times New Roman"/>
      <w:sz w:val="16"/>
      <w:lang w:eastAsia="en-US"/>
    </w:rPr>
  </w:style>
  <w:style w:type="paragraph" w:styleId="Title">
    <w:name w:val="Title"/>
    <w:basedOn w:val="HeadingBase"/>
    <w:link w:val="TitleChar"/>
    <w:qFormat/>
    <w:rsid w:val="00D54D55"/>
    <w:pPr>
      <w:spacing w:before="5040"/>
      <w:jc w:val="center"/>
    </w:pPr>
    <w:rPr>
      <w:sz w:val="48"/>
      <w:szCs w:val="72"/>
      <w:lang w:val="en-US"/>
    </w:rPr>
  </w:style>
  <w:style w:type="character" w:customStyle="1" w:styleId="TitleChar">
    <w:name w:val="Title Char"/>
    <w:basedOn w:val="DefaultParagraphFont"/>
    <w:link w:val="Title"/>
    <w:rsid w:val="00D54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4D55"/>
    <w:pPr>
      <w:tabs>
        <w:tab w:val="left" w:pos="3600"/>
        <w:tab w:val="left" w:pos="3958"/>
      </w:tabs>
    </w:pPr>
  </w:style>
  <w:style w:type="paragraph" w:styleId="List">
    <w:name w:val="List"/>
    <w:basedOn w:val="BodyText"/>
    <w:next w:val="BodyText"/>
    <w:rsid w:val="00D54D55"/>
    <w:pPr>
      <w:tabs>
        <w:tab w:val="left" w:pos="340"/>
      </w:tabs>
      <w:spacing w:before="60" w:after="60"/>
      <w:ind w:left="340" w:hanging="340"/>
    </w:pPr>
  </w:style>
  <w:style w:type="paragraph" w:customStyle="1" w:styleId="Note">
    <w:name w:val="Note"/>
    <w:basedOn w:val="BodyText"/>
    <w:rsid w:val="00D54D5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54D55"/>
    <w:rPr>
      <w:b/>
      <w:spacing w:val="0"/>
    </w:rPr>
  </w:style>
  <w:style w:type="paragraph" w:customStyle="1" w:styleId="SuperTitle">
    <w:name w:val="SuperTitle"/>
    <w:basedOn w:val="Title"/>
    <w:rsid w:val="00D54D55"/>
    <w:pPr>
      <w:framePr w:wrap="auto" w:hAnchor="text" w:y="6049"/>
    </w:pPr>
    <w:rPr>
      <w:color w:val="000000"/>
      <w:sz w:val="40"/>
    </w:rPr>
  </w:style>
  <w:style w:type="paragraph" w:customStyle="1" w:styleId="TOCTitle">
    <w:name w:val="TOCTitle"/>
    <w:basedOn w:val="Heading1"/>
    <w:rsid w:val="00D54D55"/>
    <w:pPr>
      <w:spacing w:after="240"/>
      <w:jc w:val="center"/>
      <w:outlineLvl w:val="9"/>
    </w:pPr>
    <w:rPr>
      <w:caps/>
    </w:rPr>
  </w:style>
  <w:style w:type="paragraph" w:customStyle="1" w:styleId="Version">
    <w:name w:val="Version"/>
    <w:rsid w:val="00D54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4D55"/>
    <w:pPr>
      <w:keepNext w:val="0"/>
      <w:tabs>
        <w:tab w:val="right" w:pos="4176"/>
      </w:tabs>
      <w:ind w:left="198" w:hanging="198"/>
    </w:pPr>
    <w:rPr>
      <w:rFonts w:ascii="Garamond" w:hAnsi="Garamond"/>
    </w:rPr>
  </w:style>
  <w:style w:type="paragraph" w:styleId="IndexHeading">
    <w:name w:val="index heading"/>
    <w:basedOn w:val="Normal"/>
    <w:next w:val="Index1"/>
    <w:semiHidden/>
    <w:rsid w:val="00D54D55"/>
    <w:pPr>
      <w:spacing w:before="120" w:after="120"/>
    </w:pPr>
    <w:rPr>
      <w:rFonts w:ascii="Arial" w:hAnsi="Arial"/>
      <w:b/>
      <w:color w:val="918585"/>
      <w:sz w:val="24"/>
    </w:rPr>
  </w:style>
  <w:style w:type="paragraph" w:styleId="Header">
    <w:name w:val="header"/>
    <w:basedOn w:val="Normal"/>
    <w:link w:val="HeaderChar"/>
    <w:rsid w:val="00D54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4D55"/>
    <w:rPr>
      <w:rFonts w:ascii="Times New Roman" w:eastAsia="Times New Roman" w:hAnsi="Times New Roman" w:cs="Times New Roman"/>
      <w:sz w:val="16"/>
      <w:szCs w:val="20"/>
      <w:lang w:val="en-GB" w:eastAsia="en-US"/>
    </w:rPr>
  </w:style>
  <w:style w:type="paragraph" w:customStyle="1" w:styleId="Chapter">
    <w:name w:val="Chapter"/>
    <w:basedOn w:val="Normal"/>
    <w:rsid w:val="00D54D55"/>
    <w:pPr>
      <w:spacing w:before="240"/>
    </w:pPr>
    <w:rPr>
      <w:rFonts w:ascii="Times New Roman" w:hAnsi="Times New Roman"/>
      <w:smallCaps/>
      <w:spacing w:val="80"/>
      <w:sz w:val="28"/>
    </w:rPr>
  </w:style>
  <w:style w:type="paragraph" w:customStyle="1" w:styleId="InChapter">
    <w:name w:val="InChapter"/>
    <w:basedOn w:val="Heading3"/>
    <w:rsid w:val="00D54D55"/>
    <w:pPr>
      <w:spacing w:after="240"/>
      <w:outlineLvl w:val="9"/>
    </w:pPr>
    <w:rPr>
      <w:noProof/>
    </w:rPr>
  </w:style>
  <w:style w:type="paragraph" w:styleId="Index2">
    <w:name w:val="index 2"/>
    <w:basedOn w:val="Normal"/>
    <w:next w:val="Normal"/>
    <w:semiHidden/>
    <w:rsid w:val="00D54D55"/>
    <w:pPr>
      <w:tabs>
        <w:tab w:val="right" w:pos="4176"/>
      </w:tabs>
      <w:ind w:left="568" w:hanging="284"/>
    </w:pPr>
    <w:rPr>
      <w:rFonts w:ascii="Garamond" w:hAnsi="Garamond"/>
    </w:rPr>
  </w:style>
  <w:style w:type="paragraph" w:customStyle="1" w:styleId="Byline">
    <w:name w:val="Byline"/>
    <w:rsid w:val="00D54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4D55"/>
    <w:pPr>
      <w:tabs>
        <w:tab w:val="clear" w:pos="3600"/>
        <w:tab w:val="clear" w:pos="3958"/>
      </w:tabs>
      <w:jc w:val="right"/>
    </w:pPr>
  </w:style>
  <w:style w:type="character" w:styleId="Emphasis">
    <w:name w:val="Emphasis"/>
    <w:basedOn w:val="DefaultParagraphFont"/>
    <w:qFormat/>
    <w:rsid w:val="00D54D55"/>
    <w:rPr>
      <w:i/>
    </w:rPr>
  </w:style>
  <w:style w:type="paragraph" w:styleId="Caption">
    <w:name w:val="caption"/>
    <w:basedOn w:val="BodyText"/>
    <w:next w:val="Normal"/>
    <w:qFormat/>
    <w:rsid w:val="00D54D55"/>
    <w:pPr>
      <w:framePr w:w="2268" w:hSpace="181" w:vSpace="181" w:wrap="around" w:vAnchor="text" w:hAnchor="page" w:x="1135" w:y="285" w:anchorLock="1"/>
    </w:pPr>
    <w:rPr>
      <w:i/>
    </w:rPr>
  </w:style>
  <w:style w:type="paragraph" w:customStyle="1" w:styleId="MiniTOCTitle">
    <w:name w:val="MiniTOCTitle"/>
    <w:basedOn w:val="Heading4"/>
    <w:rsid w:val="00D54D55"/>
    <w:pPr>
      <w:spacing w:before="240"/>
      <w:outlineLvl w:val="9"/>
    </w:pPr>
    <w:rPr>
      <w:noProof/>
      <w:sz w:val="24"/>
    </w:rPr>
  </w:style>
  <w:style w:type="paragraph" w:customStyle="1" w:styleId="MiniTOCItem">
    <w:name w:val="MiniTOCItem"/>
    <w:basedOn w:val="ListBullet"/>
    <w:rsid w:val="00D54D55"/>
    <w:pPr>
      <w:numPr>
        <w:numId w:val="0"/>
      </w:numPr>
      <w:tabs>
        <w:tab w:val="right" w:leader="dot" w:pos="6521"/>
      </w:tabs>
      <w:spacing w:before="0" w:after="0"/>
    </w:pPr>
  </w:style>
  <w:style w:type="paragraph" w:customStyle="1" w:styleId="TOFTitle">
    <w:name w:val="TOFTitle"/>
    <w:basedOn w:val="TOCTitle"/>
    <w:rsid w:val="00D54D55"/>
  </w:style>
  <w:style w:type="paragraph" w:styleId="TableofFigures">
    <w:name w:val="table of figures"/>
    <w:basedOn w:val="Normal"/>
    <w:next w:val="Normal"/>
    <w:semiHidden/>
    <w:rsid w:val="00D54D55"/>
    <w:pPr>
      <w:tabs>
        <w:tab w:val="right" w:leader="dot" w:pos="9072"/>
      </w:tabs>
      <w:ind w:left="970" w:hanging="403"/>
    </w:pPr>
    <w:rPr>
      <w:rFonts w:ascii="Times New Roman" w:hAnsi="Times New Roman"/>
      <w:b/>
    </w:rPr>
  </w:style>
  <w:style w:type="paragraph" w:styleId="ListNumber">
    <w:name w:val="List Number"/>
    <w:basedOn w:val="List"/>
    <w:rsid w:val="00D54D55"/>
    <w:pPr>
      <w:numPr>
        <w:numId w:val="16"/>
      </w:numPr>
      <w:tabs>
        <w:tab w:val="clear" w:pos="340"/>
      </w:tabs>
    </w:pPr>
  </w:style>
  <w:style w:type="character" w:customStyle="1" w:styleId="WingdingSymbols">
    <w:name w:val="Wingding Symbols"/>
    <w:rsid w:val="00D54D55"/>
    <w:rPr>
      <w:rFonts w:ascii="Wingdings" w:hAnsi="Wingdings"/>
    </w:rPr>
  </w:style>
  <w:style w:type="paragraph" w:customStyle="1" w:styleId="TableHeading">
    <w:name w:val="Table Heading"/>
    <w:basedOn w:val="HeadingBase"/>
    <w:rsid w:val="00D54D55"/>
    <w:pPr>
      <w:keepLines/>
      <w:pBdr>
        <w:bottom w:val="single" w:sz="6" w:space="1" w:color="918585"/>
      </w:pBdr>
      <w:spacing w:before="240"/>
    </w:pPr>
  </w:style>
  <w:style w:type="character" w:customStyle="1" w:styleId="HotSpot">
    <w:name w:val="HotSpot"/>
    <w:rsid w:val="00D54D55"/>
    <w:rPr>
      <w:color w:val="0033CC"/>
      <w:u w:val="none"/>
    </w:rPr>
  </w:style>
  <w:style w:type="paragraph" w:customStyle="1" w:styleId="BodyTextRight">
    <w:name w:val="Body Text Right"/>
    <w:basedOn w:val="BodyText"/>
    <w:rsid w:val="00D54D55"/>
    <w:pPr>
      <w:spacing w:before="0" w:after="0"/>
      <w:jc w:val="right"/>
    </w:pPr>
  </w:style>
  <w:style w:type="paragraph" w:styleId="Index3">
    <w:name w:val="index 3"/>
    <w:basedOn w:val="ListNumber2"/>
    <w:next w:val="Normal"/>
    <w:semiHidden/>
    <w:rsid w:val="00D54D55"/>
    <w:pPr>
      <w:numPr>
        <w:numId w:val="0"/>
      </w:numPr>
      <w:tabs>
        <w:tab w:val="right" w:leader="dot" w:pos="4176"/>
      </w:tabs>
    </w:pPr>
  </w:style>
  <w:style w:type="paragraph" w:styleId="ListNumber2">
    <w:name w:val="List Number 2"/>
    <w:basedOn w:val="List2"/>
    <w:rsid w:val="00D54D55"/>
    <w:pPr>
      <w:numPr>
        <w:numId w:val="11"/>
      </w:numPr>
      <w:tabs>
        <w:tab w:val="clear" w:pos="1060"/>
      </w:tabs>
    </w:pPr>
  </w:style>
  <w:style w:type="paragraph" w:customStyle="1" w:styleId="MarginNote">
    <w:name w:val="Margin Note"/>
    <w:basedOn w:val="BodyText"/>
    <w:rsid w:val="00D54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4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4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4D55"/>
    <w:rPr>
      <w:sz w:val="32"/>
    </w:rPr>
  </w:style>
  <w:style w:type="paragraph" w:customStyle="1" w:styleId="HeadingProcedure">
    <w:name w:val="Heading Procedure"/>
    <w:basedOn w:val="HeadingBase"/>
    <w:next w:val="Normal"/>
    <w:rsid w:val="00D54D55"/>
    <w:pPr>
      <w:tabs>
        <w:tab w:val="left" w:pos="0"/>
      </w:tabs>
      <w:spacing w:before="120" w:after="60"/>
    </w:pPr>
    <w:rPr>
      <w:i/>
      <w:color w:val="918585"/>
      <w:sz w:val="22"/>
    </w:rPr>
  </w:style>
  <w:style w:type="paragraph" w:customStyle="1" w:styleId="TableBodyText">
    <w:name w:val="Table Body Text"/>
    <w:basedOn w:val="BodyText"/>
    <w:rsid w:val="00D54D55"/>
    <w:pPr>
      <w:spacing w:before="60" w:after="60"/>
    </w:pPr>
  </w:style>
  <w:style w:type="paragraph" w:styleId="ListContinue">
    <w:name w:val="List Continue"/>
    <w:basedOn w:val="List"/>
    <w:rsid w:val="00D54D55"/>
    <w:pPr>
      <w:ind w:firstLine="0"/>
    </w:pPr>
  </w:style>
  <w:style w:type="paragraph" w:customStyle="1" w:styleId="ListNote">
    <w:name w:val="List Note"/>
    <w:basedOn w:val="List"/>
    <w:rsid w:val="00D54D55"/>
    <w:pPr>
      <w:pBdr>
        <w:top w:val="single" w:sz="6" w:space="2" w:color="918585"/>
        <w:bottom w:val="single" w:sz="6" w:space="2" w:color="918585"/>
      </w:pBdr>
      <w:tabs>
        <w:tab w:val="left" w:pos="1021"/>
      </w:tabs>
      <w:ind w:firstLine="0"/>
    </w:pPr>
  </w:style>
  <w:style w:type="paragraph" w:customStyle="1" w:styleId="Warning">
    <w:name w:val="Warning"/>
    <w:basedOn w:val="BodyText"/>
    <w:rsid w:val="00D54D55"/>
    <w:pPr>
      <w:shd w:val="clear" w:color="auto" w:fill="D9D9D9"/>
      <w:tabs>
        <w:tab w:val="left" w:pos="992"/>
      </w:tabs>
      <w:ind w:left="119" w:right="119"/>
    </w:pPr>
    <w:rPr>
      <w:sz w:val="20"/>
    </w:rPr>
  </w:style>
  <w:style w:type="paragraph" w:customStyle="1" w:styleId="MarginIcons">
    <w:name w:val="Margin Icons"/>
    <w:basedOn w:val="BodyText"/>
    <w:rsid w:val="00D54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4D55"/>
    <w:rPr>
      <w:rFonts w:ascii="Courier New" w:hAnsi="Courier New"/>
    </w:rPr>
  </w:style>
  <w:style w:type="paragraph" w:customStyle="1" w:styleId="NoteBullet">
    <w:name w:val="Note Bullet"/>
    <w:basedOn w:val="Note"/>
    <w:rsid w:val="00D54D55"/>
    <w:pPr>
      <w:tabs>
        <w:tab w:val="clear" w:pos="680"/>
      </w:tabs>
      <w:spacing w:before="60" w:after="60"/>
    </w:pPr>
  </w:style>
  <w:style w:type="paragraph" w:customStyle="1" w:styleId="SubHeading2">
    <w:name w:val="SubHeading2"/>
    <w:basedOn w:val="HeadingBase"/>
    <w:rsid w:val="00D54D55"/>
    <w:pPr>
      <w:spacing w:before="240" w:after="60"/>
    </w:pPr>
    <w:rPr>
      <w:sz w:val="20"/>
    </w:rPr>
  </w:style>
  <w:style w:type="paragraph" w:customStyle="1" w:styleId="SubHeading1">
    <w:name w:val="SubHeading1"/>
    <w:basedOn w:val="HeadingBase"/>
    <w:rsid w:val="00D54D55"/>
    <w:pPr>
      <w:spacing w:before="240" w:after="60"/>
    </w:pPr>
    <w:rPr>
      <w:color w:val="918585"/>
      <w:sz w:val="22"/>
    </w:rPr>
  </w:style>
  <w:style w:type="paragraph" w:customStyle="1" w:styleId="SideHeading">
    <w:name w:val="Side Heading"/>
    <w:basedOn w:val="HeadingBase"/>
    <w:rsid w:val="00D54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4D55"/>
    <w:pPr>
      <w:numPr>
        <w:numId w:val="12"/>
      </w:numPr>
    </w:pPr>
  </w:style>
  <w:style w:type="paragraph" w:styleId="PlainText">
    <w:name w:val="Plain Text"/>
    <w:basedOn w:val="Normal"/>
    <w:link w:val="PlainTextChar"/>
    <w:rsid w:val="00D54D55"/>
    <w:rPr>
      <w:sz w:val="20"/>
    </w:rPr>
  </w:style>
  <w:style w:type="character" w:customStyle="1" w:styleId="PlainTextChar">
    <w:name w:val="Plain Text Char"/>
    <w:basedOn w:val="DefaultParagraphFont"/>
    <w:link w:val="PlainText"/>
    <w:rsid w:val="00D54D55"/>
    <w:rPr>
      <w:rFonts w:ascii="Courier New" w:eastAsia="Times New Roman" w:hAnsi="Courier New" w:cs="Times New Roman"/>
      <w:sz w:val="20"/>
      <w:szCs w:val="20"/>
      <w:lang w:eastAsia="en-US"/>
    </w:rPr>
  </w:style>
  <w:style w:type="character" w:customStyle="1" w:styleId="MenuOption">
    <w:name w:val="Menu Option"/>
    <w:basedOn w:val="DefaultParagraphFont"/>
    <w:rsid w:val="00D54D55"/>
    <w:rPr>
      <w:b/>
      <w:smallCaps/>
    </w:rPr>
  </w:style>
  <w:style w:type="paragraph" w:customStyle="1" w:styleId="TableListNumber">
    <w:name w:val="Table List Number"/>
    <w:basedOn w:val="ListNumber"/>
    <w:rsid w:val="00D54D55"/>
    <w:pPr>
      <w:numPr>
        <w:numId w:val="0"/>
      </w:numPr>
    </w:pPr>
  </w:style>
  <w:style w:type="paragraph" w:styleId="TOC4">
    <w:name w:val="toc 4"/>
    <w:basedOn w:val="TOCBase"/>
    <w:next w:val="Normal"/>
    <w:semiHidden/>
    <w:rsid w:val="00D54D55"/>
    <w:pPr>
      <w:tabs>
        <w:tab w:val="right" w:leader="dot" w:pos="9071"/>
      </w:tabs>
      <w:ind w:left="1701"/>
    </w:pPr>
  </w:style>
  <w:style w:type="paragraph" w:customStyle="1" w:styleId="ListAlpha">
    <w:name w:val="List Alpha"/>
    <w:basedOn w:val="List"/>
    <w:rsid w:val="00D54D55"/>
    <w:pPr>
      <w:numPr>
        <w:numId w:val="10"/>
      </w:numPr>
    </w:pPr>
  </w:style>
  <w:style w:type="paragraph" w:customStyle="1" w:styleId="ListAlpha2">
    <w:name w:val="List Alpha 2"/>
    <w:basedOn w:val="List2"/>
    <w:rsid w:val="00D54D55"/>
    <w:pPr>
      <w:numPr>
        <w:numId w:val="9"/>
      </w:numPr>
    </w:pPr>
  </w:style>
  <w:style w:type="paragraph" w:styleId="List2">
    <w:name w:val="List 2"/>
    <w:basedOn w:val="BodyText"/>
    <w:rsid w:val="00D54D55"/>
    <w:pPr>
      <w:tabs>
        <w:tab w:val="left" w:pos="680"/>
      </w:tabs>
      <w:spacing w:before="60" w:after="60"/>
      <w:ind w:left="680" w:hanging="340"/>
    </w:pPr>
  </w:style>
  <w:style w:type="paragraph" w:styleId="List3">
    <w:name w:val="List 3"/>
    <w:basedOn w:val="BodyText"/>
    <w:rsid w:val="00D54D55"/>
    <w:pPr>
      <w:tabs>
        <w:tab w:val="left" w:pos="1021"/>
      </w:tabs>
      <w:spacing w:before="60" w:after="60"/>
      <w:ind w:left="1020" w:hanging="340"/>
    </w:pPr>
  </w:style>
  <w:style w:type="paragraph" w:styleId="List4">
    <w:name w:val="List 4"/>
    <w:basedOn w:val="BodyText"/>
    <w:rsid w:val="00D54D55"/>
    <w:pPr>
      <w:tabs>
        <w:tab w:val="left" w:pos="1361"/>
      </w:tabs>
      <w:spacing w:before="60" w:after="60"/>
      <w:ind w:left="1361" w:hanging="340"/>
    </w:pPr>
  </w:style>
  <w:style w:type="paragraph" w:styleId="List5">
    <w:name w:val="List 5"/>
    <w:basedOn w:val="BodyText"/>
    <w:rsid w:val="00D54D55"/>
    <w:pPr>
      <w:tabs>
        <w:tab w:val="left" w:pos="1701"/>
      </w:tabs>
      <w:spacing w:before="60" w:after="60"/>
      <w:ind w:left="1701" w:hanging="340"/>
    </w:pPr>
  </w:style>
  <w:style w:type="paragraph" w:styleId="ListBullet4">
    <w:name w:val="List Bullet 4"/>
    <w:basedOn w:val="List4"/>
    <w:rsid w:val="00D54D55"/>
    <w:pPr>
      <w:numPr>
        <w:numId w:val="4"/>
      </w:numPr>
      <w:tabs>
        <w:tab w:val="clear" w:pos="1361"/>
      </w:tabs>
    </w:pPr>
  </w:style>
  <w:style w:type="paragraph" w:styleId="ListBullet5">
    <w:name w:val="List Bullet 5"/>
    <w:basedOn w:val="List5"/>
    <w:rsid w:val="00D54D55"/>
    <w:pPr>
      <w:numPr>
        <w:numId w:val="5"/>
      </w:numPr>
    </w:pPr>
  </w:style>
  <w:style w:type="paragraph" w:styleId="ListContinue2">
    <w:name w:val="List Continue 2"/>
    <w:basedOn w:val="List2"/>
    <w:rsid w:val="00D54D55"/>
    <w:pPr>
      <w:ind w:firstLine="0"/>
    </w:pPr>
  </w:style>
  <w:style w:type="paragraph" w:styleId="ListContinue3">
    <w:name w:val="List Continue 3"/>
    <w:basedOn w:val="List3"/>
    <w:rsid w:val="00D54D55"/>
    <w:pPr>
      <w:ind w:left="1021" w:firstLine="0"/>
    </w:pPr>
  </w:style>
  <w:style w:type="paragraph" w:styleId="ListContinue4">
    <w:name w:val="List Continue 4"/>
    <w:basedOn w:val="List4"/>
    <w:rsid w:val="00D54D55"/>
    <w:pPr>
      <w:ind w:firstLine="0"/>
    </w:pPr>
  </w:style>
  <w:style w:type="paragraph" w:styleId="ListContinue5">
    <w:name w:val="List Continue 5"/>
    <w:basedOn w:val="List5"/>
    <w:rsid w:val="00D54D55"/>
    <w:pPr>
      <w:ind w:firstLine="0"/>
    </w:pPr>
  </w:style>
  <w:style w:type="paragraph" w:styleId="ListNumber3">
    <w:name w:val="List Number 3"/>
    <w:basedOn w:val="List3"/>
    <w:rsid w:val="00D54D55"/>
    <w:pPr>
      <w:numPr>
        <w:numId w:val="6"/>
      </w:numPr>
    </w:pPr>
  </w:style>
  <w:style w:type="paragraph" w:styleId="ListNumber4">
    <w:name w:val="List Number 4"/>
    <w:basedOn w:val="List4"/>
    <w:rsid w:val="00D54D55"/>
    <w:pPr>
      <w:numPr>
        <w:numId w:val="7"/>
      </w:numPr>
    </w:pPr>
  </w:style>
  <w:style w:type="paragraph" w:styleId="ListNumber5">
    <w:name w:val="List Number 5"/>
    <w:basedOn w:val="List5"/>
    <w:rsid w:val="00D54D55"/>
    <w:pPr>
      <w:numPr>
        <w:numId w:val="8"/>
      </w:numPr>
    </w:pPr>
  </w:style>
  <w:style w:type="paragraph" w:styleId="BlockText">
    <w:name w:val="Block Text"/>
    <w:basedOn w:val="Normal"/>
    <w:rsid w:val="00D54D55"/>
    <w:pPr>
      <w:spacing w:after="120"/>
      <w:ind w:left="1440" w:right="1440"/>
    </w:pPr>
  </w:style>
  <w:style w:type="character" w:customStyle="1" w:styleId="Subscript">
    <w:name w:val="Subscript"/>
    <w:basedOn w:val="DefaultParagraphFont"/>
    <w:rsid w:val="00D54D55"/>
    <w:rPr>
      <w:sz w:val="16"/>
      <w:vertAlign w:val="subscript"/>
    </w:rPr>
  </w:style>
  <w:style w:type="character" w:customStyle="1" w:styleId="Superscript">
    <w:name w:val="Superscript"/>
    <w:basedOn w:val="DefaultParagraphFont"/>
    <w:rsid w:val="00D54D55"/>
    <w:rPr>
      <w:sz w:val="16"/>
      <w:vertAlign w:val="superscript"/>
    </w:rPr>
  </w:style>
  <w:style w:type="character" w:customStyle="1" w:styleId="Symbols">
    <w:name w:val="Symbols"/>
    <w:basedOn w:val="DefaultParagraphFont"/>
    <w:rsid w:val="00D54D55"/>
    <w:rPr>
      <w:rFonts w:ascii="Symbol" w:hAnsi="Symbol"/>
    </w:rPr>
  </w:style>
  <w:style w:type="character" w:customStyle="1" w:styleId="MenuOptions">
    <w:name w:val="Menu Options"/>
    <w:basedOn w:val="DefaultParagraphFont"/>
    <w:rsid w:val="00D54D55"/>
    <w:rPr>
      <w:rFonts w:ascii="Arial Narrow" w:hAnsi="Arial Narrow"/>
      <w:smallCaps/>
    </w:rPr>
  </w:style>
  <w:style w:type="character" w:customStyle="1" w:styleId="Buttons">
    <w:name w:val="Buttons"/>
    <w:basedOn w:val="DefaultParagraphFont"/>
    <w:rsid w:val="00D54D55"/>
    <w:rPr>
      <w:b/>
    </w:rPr>
  </w:style>
  <w:style w:type="character" w:customStyle="1" w:styleId="Underlined">
    <w:name w:val="Underlined"/>
    <w:basedOn w:val="DefaultParagraphFont"/>
    <w:rsid w:val="00D54D55"/>
    <w:rPr>
      <w:u w:val="single"/>
    </w:rPr>
  </w:style>
  <w:style w:type="paragraph" w:customStyle="1" w:styleId="TableBodyTextRight">
    <w:name w:val="Table Body Text Right"/>
    <w:basedOn w:val="TableBodyText"/>
    <w:rsid w:val="00D54D55"/>
    <w:pPr>
      <w:widowControl w:val="0"/>
      <w:autoSpaceDE w:val="0"/>
      <w:autoSpaceDN w:val="0"/>
      <w:adjustRightInd w:val="0"/>
      <w:jc w:val="right"/>
    </w:pPr>
    <w:rPr>
      <w:rFonts w:cs="Arial"/>
      <w:szCs w:val="18"/>
    </w:rPr>
  </w:style>
  <w:style w:type="paragraph" w:customStyle="1" w:styleId="CopyrightText">
    <w:name w:val="Copyright Text"/>
    <w:basedOn w:val="BodyText"/>
    <w:rsid w:val="00D54D55"/>
    <w:rPr>
      <w:sz w:val="18"/>
    </w:rPr>
  </w:style>
  <w:style w:type="paragraph" w:customStyle="1" w:styleId="BodySmallRight">
    <w:name w:val="Body Small Right"/>
    <w:basedOn w:val="BodyTextRight"/>
    <w:rsid w:val="00D54D55"/>
    <w:rPr>
      <w:sz w:val="18"/>
      <w:szCs w:val="18"/>
    </w:rPr>
  </w:style>
  <w:style w:type="paragraph" w:customStyle="1" w:styleId="MarginEdition">
    <w:name w:val="Margin Edition"/>
    <w:basedOn w:val="MarginNote"/>
    <w:rsid w:val="00D54D55"/>
    <w:pPr>
      <w:spacing w:before="0" w:after="0"/>
    </w:pPr>
    <w:rPr>
      <w:rFonts w:ascii="Times New Roman" w:hAnsi="Times New Roman"/>
      <w:color w:val="999999"/>
    </w:rPr>
  </w:style>
  <w:style w:type="paragraph" w:customStyle="1" w:styleId="Spacer">
    <w:name w:val="Spacer"/>
    <w:basedOn w:val="Normal"/>
    <w:rsid w:val="00D54D55"/>
    <w:rPr>
      <w:sz w:val="2"/>
      <w:szCs w:val="2"/>
    </w:rPr>
  </w:style>
  <w:style w:type="character" w:customStyle="1" w:styleId="Small">
    <w:name w:val="Small"/>
    <w:basedOn w:val="DefaultParagraphFont"/>
    <w:rsid w:val="00D54D55"/>
    <w:rPr>
      <w:sz w:val="16"/>
    </w:rPr>
  </w:style>
  <w:style w:type="paragraph" w:customStyle="1" w:styleId="WideTable">
    <w:name w:val="Wide Table"/>
    <w:basedOn w:val="Normal"/>
    <w:rsid w:val="00D54D55"/>
    <w:pPr>
      <w:ind w:left="-1418"/>
    </w:pPr>
    <w:rPr>
      <w:sz w:val="2"/>
      <w:szCs w:val="2"/>
    </w:rPr>
  </w:style>
  <w:style w:type="character" w:styleId="PageNumber">
    <w:name w:val="page number"/>
    <w:basedOn w:val="DefaultParagraphFont"/>
    <w:rsid w:val="00D54D55"/>
  </w:style>
  <w:style w:type="paragraph" w:styleId="Quote">
    <w:name w:val="Quote"/>
    <w:basedOn w:val="Heading1"/>
    <w:link w:val="QuoteChar"/>
    <w:qFormat/>
    <w:rsid w:val="00D54D55"/>
    <w:rPr>
      <w:b w:val="0"/>
      <w:sz w:val="72"/>
      <w:szCs w:val="72"/>
      <w:lang w:val="en-NZ"/>
    </w:rPr>
  </w:style>
  <w:style w:type="character" w:customStyle="1" w:styleId="QuoteChar">
    <w:name w:val="Quote Char"/>
    <w:basedOn w:val="DefaultParagraphFont"/>
    <w:link w:val="Quote"/>
    <w:rsid w:val="00D54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4D55"/>
    <w:pPr>
      <w:pageBreakBefore/>
    </w:pPr>
  </w:style>
  <w:style w:type="paragraph" w:customStyle="1" w:styleId="Border">
    <w:name w:val="Border"/>
    <w:basedOn w:val="Normal"/>
    <w:qFormat/>
    <w:rsid w:val="00D54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4D55"/>
    <w:rPr>
      <w:b/>
      <w:bCs/>
      <w:i/>
      <w:iCs/>
      <w:color w:val="auto"/>
    </w:rPr>
  </w:style>
  <w:style w:type="paragraph" w:styleId="IntenseQuote">
    <w:name w:val="Intense Quote"/>
    <w:basedOn w:val="Normal"/>
    <w:next w:val="Normal"/>
    <w:link w:val="IntenseQuoteChar"/>
    <w:uiPriority w:val="30"/>
    <w:qFormat/>
    <w:rsid w:val="00D54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4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4D55"/>
    <w:rPr>
      <w:smallCaps/>
      <w:color w:val="auto"/>
      <w:u w:val="single"/>
    </w:rPr>
  </w:style>
  <w:style w:type="character" w:styleId="IntenseReference">
    <w:name w:val="Intense Reference"/>
    <w:basedOn w:val="DefaultParagraphFont"/>
    <w:uiPriority w:val="32"/>
    <w:qFormat/>
    <w:rsid w:val="00D54D55"/>
    <w:rPr>
      <w:b/>
      <w:bCs/>
      <w:smallCaps/>
      <w:color w:val="auto"/>
      <w:spacing w:val="5"/>
      <w:u w:val="single"/>
    </w:rPr>
  </w:style>
  <w:style w:type="paragraph" w:customStyle="1" w:styleId="2ColumnHeading">
    <w:name w:val="2Column Heading"/>
    <w:basedOn w:val="BodyText"/>
    <w:qFormat/>
    <w:rsid w:val="00D54D55"/>
    <w:pPr>
      <w:spacing w:after="60"/>
      <w:ind w:left="-2268"/>
    </w:pPr>
    <w:rPr>
      <w:b/>
    </w:rPr>
  </w:style>
  <w:style w:type="paragraph" w:customStyle="1" w:styleId="Heading1TOC">
    <w:name w:val="Heading1 TOC"/>
    <w:basedOn w:val="Normal"/>
    <w:qFormat/>
    <w:rsid w:val="00D54D55"/>
    <w:pPr>
      <w:spacing w:before="240" w:after="120"/>
    </w:pPr>
    <w:rPr>
      <w:rFonts w:ascii="Times New Roman" w:hAnsi="Times New Roman"/>
      <w:b/>
      <w:sz w:val="32"/>
    </w:rPr>
  </w:style>
  <w:style w:type="paragraph" w:customStyle="1" w:styleId="Heading2TOC">
    <w:name w:val="Heading2 TOC"/>
    <w:basedOn w:val="Normal"/>
    <w:qFormat/>
    <w:rsid w:val="00D54D55"/>
    <w:pPr>
      <w:spacing w:before="240" w:after="60"/>
    </w:pPr>
    <w:rPr>
      <w:rFonts w:ascii="Times New Roman" w:hAnsi="Times New Roman"/>
      <w:b/>
      <w:sz w:val="28"/>
    </w:rPr>
  </w:style>
  <w:style w:type="character" w:customStyle="1" w:styleId="Underline">
    <w:name w:val="Underline"/>
    <w:basedOn w:val="DefaultParagraphFont"/>
    <w:qFormat/>
    <w:rsid w:val="00D54D55"/>
    <w:rPr>
      <w:u w:val="single"/>
    </w:rPr>
  </w:style>
  <w:style w:type="character" w:customStyle="1" w:styleId="BoldandItalics">
    <w:name w:val="Bold and Italics"/>
    <w:qFormat/>
    <w:rsid w:val="00D54D55"/>
    <w:rPr>
      <w:b/>
      <w:i/>
      <w:u w:val="none"/>
    </w:rPr>
  </w:style>
  <w:style w:type="paragraph" w:styleId="BalloonText">
    <w:name w:val="Balloon Text"/>
    <w:basedOn w:val="Normal"/>
    <w:link w:val="BalloonTextChar"/>
    <w:rsid w:val="00D54D55"/>
    <w:rPr>
      <w:rFonts w:ascii="Tahoma" w:hAnsi="Tahoma" w:cs="Tahoma"/>
      <w:sz w:val="16"/>
      <w:szCs w:val="16"/>
    </w:rPr>
  </w:style>
  <w:style w:type="character" w:customStyle="1" w:styleId="BalloonTextChar">
    <w:name w:val="Balloon Text Char"/>
    <w:basedOn w:val="DefaultParagraphFont"/>
    <w:link w:val="BalloonText"/>
    <w:rsid w:val="00D54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4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4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4D55"/>
    <w:rPr>
      <w:b/>
      <w:color w:val="660033"/>
      <w:spacing w:val="0"/>
    </w:rPr>
  </w:style>
  <w:style w:type="paragraph" w:customStyle="1" w:styleId="Nameditemlist">
    <w:name w:val="Named item list"/>
    <w:basedOn w:val="BodyText"/>
    <w:qFormat/>
    <w:rsid w:val="00D54D55"/>
    <w:pPr>
      <w:tabs>
        <w:tab w:val="left" w:pos="2835"/>
      </w:tabs>
      <w:ind w:left="2835" w:hanging="2835"/>
    </w:pPr>
  </w:style>
  <w:style w:type="paragraph" w:customStyle="1" w:styleId="BodyTextnopadding">
    <w:name w:val="Body Text no padding"/>
    <w:basedOn w:val="BodyText"/>
    <w:qFormat/>
    <w:rsid w:val="00D54D55"/>
    <w:pPr>
      <w:spacing w:before="0" w:after="0"/>
    </w:pPr>
  </w:style>
  <w:style w:type="paragraph" w:customStyle="1" w:styleId="BodyTextBold">
    <w:name w:val="Body Text Bold"/>
    <w:basedOn w:val="BodyText"/>
    <w:qFormat/>
    <w:rsid w:val="00D54D55"/>
    <w:rPr>
      <w:b/>
    </w:rPr>
  </w:style>
  <w:style w:type="character" w:styleId="Hyperlink">
    <w:name w:val="Hyperlink"/>
    <w:basedOn w:val="DefaultParagraphFont"/>
    <w:uiPriority w:val="99"/>
    <w:unhideWhenUsed/>
    <w:rsid w:val="000E39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1012</Words>
  <Characters>6359</Characters>
  <Application>Microsoft Office Word</Application>
  <DocSecurity>0</DocSecurity>
  <Lines>151</Lines>
  <Paragraphs>96</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RIINHB411D Construct artesian (flowing) aquifer production bores</dc:title>
  <dc:subject>Approved</dc:subject>
  <dc:creator>PwC’s Skills for Australia</dc:creator>
  <cp:keywords>Release: 2</cp:keywords>
  <dc:description>Review Date: 12 April 2008</dc:description>
  <cp:lastModifiedBy>HSD_TPCMSd.prod</cp:lastModifiedBy>
  <cp:revision>3</cp:revision>
  <dcterms:created xsi:type="dcterms:W3CDTF">2020-07-08T05:44:00Z</dcterms:created>
  <dcterms:modified xsi:type="dcterms:W3CDTF">2020-07-08T05:44:00Z</dcterms:modified>
</cp:coreProperties>
</file>