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535" w:rsidP="00350535">
      <w:pPr>
        <w:pStyle w:val="Title"/>
      </w:pPr>
      <w:r>
        <w:fldChar w:fldCharType="begin"/>
      </w:r>
      <w:r>
        <w:instrText xml:space="preserve"> TITLE   \* MERGEFORMAT </w:instrText>
      </w:r>
      <w:r>
        <w:fldChar w:fldCharType="separate"/>
      </w:r>
      <w:r>
        <w:t>Assessment Requirements for RIINHB325E Construct single aquifer bores</w:t>
      </w:r>
      <w:r>
        <w:fldChar w:fldCharType="end"/>
      </w:r>
    </w:p>
    <w:p w:rsidR="00350535" w:rsidP="00350535">
      <w:pPr>
        <w:pStyle w:val="Version"/>
        <w:sectPr w:rsidSect="00DF4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A96" w:rsidP="00DF4A96">
      <w:pPr>
        <w:pStyle w:val="SuperHeading"/>
      </w:pPr>
      <w:r w:rsidRPr="00DF4A96">
        <w:t>Assessment Requirements for RIINHB325E Construct single aquifer bores</w:t>
      </w:r>
    </w:p>
    <w:p w:rsidR="00000000" w:rsidRPr="00DF4A96" w:rsidP="00DF4A96">
      <w:pPr>
        <w:pStyle w:val="Heading1"/>
      </w:pPr>
      <w:bookmarkStart w:id="1" w:name="O_1107012"/>
      <w:bookmarkEnd w:id="1"/>
      <w:r w:rsidRPr="00DF4A96">
        <w:t>Modification History</w:t>
      </w:r>
    </w:p>
    <w:tbl>
      <w:tblPr>
        <w:tblW w:w="9522" w:type="dxa"/>
        <w:tblLayout w:type="fixed"/>
        <w:tblCellMar>
          <w:left w:w="62" w:type="dxa"/>
          <w:right w:w="62" w:type="dxa"/>
        </w:tblCellMar>
        <w:tblLook w:val="0000"/>
      </w:tblPr>
      <w:tblGrid>
        <w:gridCol w:w="2929"/>
        <w:gridCol w:w="6593"/>
      </w:tblGrid>
      <w:tr w:rsidTr="00DF4A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A96" w:rsidP="00DF4A96">
            <w:pPr>
              <w:pStyle w:val="BodyText"/>
            </w:pPr>
            <w:r w:rsidRPr="00DF4A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A96">
            <w:pPr>
              <w:pStyle w:val="BodyText"/>
              <w:rPr>
                <w:lang w:val="en-NZ"/>
              </w:rPr>
            </w:pPr>
            <w:r w:rsidRPr="00DF4A96">
              <w:rPr>
                <w:rStyle w:val="SpecialBold"/>
              </w:rPr>
              <w:t>Comments</w:t>
            </w:r>
          </w:p>
        </w:tc>
      </w:tr>
      <w:tr w:rsidTr="00DF4A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A96">
            <w:pPr>
              <w:pStyle w:val="BodyText"/>
              <w:rPr>
                <w:lang w:val="en-NZ"/>
              </w:rPr>
            </w:pPr>
            <w:r w:rsidRPr="00DF4A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A96" w:rsidP="00DF4A96">
            <w:pPr>
              <w:pStyle w:val="BodyText"/>
            </w:pPr>
            <w:r w:rsidRPr="00DF4A96">
              <w:t>This version first released with RII Resources and Infrastructure Industry Training Package Version 5.0.</w:t>
            </w:r>
          </w:p>
        </w:tc>
      </w:tr>
    </w:tbl>
    <w:p w:rsidR="00000000" w:rsidRPr="00DF4A96" w:rsidP="00DF4A96">
      <w:pPr>
        <w:pStyle w:val="BodyText"/>
      </w:pPr>
    </w:p>
    <w:p w:rsidR="00000000" w:rsidRPr="00DF4A96" w:rsidP="00DF4A96">
      <w:pPr>
        <w:pStyle w:val="AllowPageBreak"/>
      </w:pPr>
    </w:p>
    <w:p w:rsidR="00000000" w:rsidRPr="00DF4A96" w:rsidP="00DF4A96">
      <w:pPr>
        <w:pStyle w:val="Heading1"/>
      </w:pPr>
      <w:bookmarkStart w:id="2" w:name="O_1107015"/>
      <w:bookmarkEnd w:id="2"/>
      <w:r w:rsidRPr="00DF4A96">
        <w:t>Performance Evidence</w:t>
      </w:r>
    </w:p>
    <w:p w:rsidR="00000000" w:rsidRPr="00DF4A96" w:rsidP="00350535">
      <w:pPr>
        <w:pStyle w:val="BodyText"/>
      </w:pPr>
      <w:r w:rsidRPr="00DF4A96">
        <w:t>The candidate must demonstrate the ability to complete the tasks outlined in the elements, performance criteria and foundation skills of this unit, including evidence of the ability to:</w:t>
      </w:r>
    </w:p>
    <w:p w:rsidR="00000000" w:rsidRPr="00DF4A96" w:rsidP="00DF4A96">
      <w:pPr>
        <w:pStyle w:val="ListBullet"/>
      </w:pPr>
      <w:r w:rsidRPr="00DF4A96">
        <w:t>construct single aquifer bores on at le</w:t>
      </w:r>
      <w:r w:rsidRPr="00DF4A96">
        <w:t>ast three occasions, including:</w:t>
      </w:r>
    </w:p>
    <w:p w:rsidR="00000000" w:rsidRPr="00DF4A96" w:rsidP="00DF4A96">
      <w:pPr>
        <w:pStyle w:val="ListBullet2"/>
      </w:pPr>
      <w:r w:rsidRPr="00DF4A96">
        <w:t xml:space="preserve">planning and preparing for the construction of single aquifer bores, including: </w:t>
      </w:r>
    </w:p>
    <w:p w:rsidR="00000000" w:rsidRPr="00DF4A96" w:rsidP="00DF4A96">
      <w:pPr>
        <w:pStyle w:val="ListBullet3"/>
      </w:pPr>
      <w:r w:rsidRPr="00DF4A96">
        <w:t xml:space="preserve">discussing and agreeing scope of work with client, including cost structure, workmanship warranty, </w:t>
      </w:r>
      <w:r w:rsidRPr="00DF4A96">
        <w:t>quantity and quality of materials, construction standards and methods to be used</w:t>
      </w:r>
    </w:p>
    <w:p w:rsidR="00000000" w:rsidRPr="00DF4A96" w:rsidP="00DF4A96">
      <w:pPr>
        <w:pStyle w:val="ListBullet3"/>
      </w:pPr>
      <w:r w:rsidRPr="00DF4A96">
        <w:t>selecting a bore site to prevent contamination and minimise interference with other bores</w:t>
      </w:r>
    </w:p>
    <w:p w:rsidR="00000000" w:rsidRPr="00DF4A96" w:rsidP="00DF4A96">
      <w:pPr>
        <w:pStyle w:val="ListBullet3"/>
      </w:pPr>
      <w:r w:rsidRPr="00DF4A96">
        <w:t>designing a single aquifer bore and determining construction method to ensure the exc</w:t>
      </w:r>
      <w:r w:rsidRPr="00DF4A96">
        <w:t xml:space="preserve">lusion of surface water ingress and screening the correct zone of strata for a water supply or groundwater monitoring purposes. </w:t>
      </w:r>
    </w:p>
    <w:p w:rsidR="00000000" w:rsidRPr="00DF4A96" w:rsidP="00DF4A96">
      <w:pPr>
        <w:pStyle w:val="ListBullet2"/>
      </w:pPr>
      <w:r w:rsidRPr="00DF4A96">
        <w:t>constructing and developing single aquifer bores in line with established requirements, including:</w:t>
      </w:r>
    </w:p>
    <w:p w:rsidR="00000000" w:rsidRPr="00DF4A96" w:rsidP="00DF4A96">
      <w:pPr>
        <w:pStyle w:val="ListBullet3"/>
      </w:pPr>
      <w:r w:rsidRPr="00DF4A96">
        <w:t>confirming or amending bor</w:t>
      </w:r>
      <w:r w:rsidRPr="00DF4A96">
        <w:t>e design based on encountered geology, using:</w:t>
      </w:r>
    </w:p>
    <w:p w:rsidR="00000000" w:rsidRPr="00DF4A96" w:rsidP="00DF4A96">
      <w:pPr>
        <w:pStyle w:val="ListBullet4"/>
      </w:pPr>
      <w:r w:rsidRPr="00DF4A96">
        <w:t>lithological logging</w:t>
      </w:r>
    </w:p>
    <w:p w:rsidR="00000000" w:rsidRPr="00DF4A96" w:rsidP="00DF4A96">
      <w:pPr>
        <w:pStyle w:val="ListBullet4"/>
      </w:pPr>
      <w:r w:rsidRPr="00DF4A96">
        <w:t>bore yield testing</w:t>
      </w:r>
    </w:p>
    <w:p w:rsidR="00000000" w:rsidRPr="00DF4A96" w:rsidP="00DF4A96">
      <w:pPr>
        <w:pStyle w:val="ListBullet4"/>
      </w:pPr>
      <w:r w:rsidRPr="00DF4A96">
        <w:t>water quality testing</w:t>
      </w:r>
    </w:p>
    <w:p w:rsidR="00000000" w:rsidRPr="00DF4A96" w:rsidP="00DF4A96">
      <w:pPr>
        <w:pStyle w:val="ListBullet3"/>
      </w:pPr>
      <w:r w:rsidRPr="00DF4A96">
        <w:t xml:space="preserve">selecting likely water entry mechanism from the formation to the bore including stainless steel </w:t>
      </w:r>
      <w:r w:rsidRPr="00DF4A96">
        <w:t>screens, filter packs, slotted casing, and open hole</w:t>
      </w:r>
    </w:p>
    <w:p w:rsidR="00000000" w:rsidRPr="00DF4A96" w:rsidP="00DF4A96">
      <w:pPr>
        <w:pStyle w:val="ListBullet3"/>
      </w:pPr>
      <w:r w:rsidRPr="00DF4A96">
        <w:t>calculating and making up cement grout volumes and mixing grout component quantities, including:</w:t>
      </w:r>
    </w:p>
    <w:p w:rsidR="00000000" w:rsidRPr="00DF4A96" w:rsidP="00DF4A96">
      <w:pPr>
        <w:pStyle w:val="ListBullet4"/>
      </w:pPr>
      <w:r w:rsidRPr="00DF4A96">
        <w:t>cement powder</w:t>
      </w:r>
    </w:p>
    <w:p w:rsidR="00000000" w:rsidRPr="00DF4A96" w:rsidP="00DF4A96">
      <w:pPr>
        <w:pStyle w:val="ListBullet4"/>
      </w:pPr>
      <w:r w:rsidRPr="00DF4A96">
        <w:t>water</w:t>
      </w:r>
    </w:p>
    <w:p w:rsidR="00000000" w:rsidRPr="00DF4A96" w:rsidP="00DF4A96">
      <w:pPr>
        <w:pStyle w:val="ListBullet4"/>
      </w:pPr>
      <w:r w:rsidRPr="00DF4A96">
        <w:t>bentonite</w:t>
      </w:r>
    </w:p>
    <w:p w:rsidR="00000000" w:rsidRPr="00DF4A96" w:rsidP="00DF4A96">
      <w:pPr>
        <w:pStyle w:val="ListBullet3"/>
      </w:pPr>
      <w:r w:rsidRPr="00DF4A96">
        <w:t>calculating hole and annular volumes</w:t>
      </w:r>
    </w:p>
    <w:p w:rsidR="00000000" w:rsidRPr="00DF4A96" w:rsidP="00DF4A96">
      <w:pPr>
        <w:pStyle w:val="ListBullet3"/>
      </w:pPr>
      <w:r w:rsidRPr="00DF4A96">
        <w:t>calculating grout specific gravity</w:t>
      </w:r>
    </w:p>
    <w:p w:rsidR="00000000" w:rsidRPr="00DF4A96" w:rsidP="00DF4A96">
      <w:pPr>
        <w:pStyle w:val="ListBullet3"/>
      </w:pPr>
      <w:r w:rsidRPr="00DF4A96">
        <w:t>co</w:t>
      </w:r>
      <w:r w:rsidRPr="00DF4A96">
        <w:t xml:space="preserve">nstructing bore according to confirmed or amended design, including: </w:t>
      </w:r>
    </w:p>
    <w:p w:rsidR="00000000" w:rsidRPr="00DF4A96" w:rsidP="00DF4A96">
      <w:pPr>
        <w:pStyle w:val="ListBullet4"/>
      </w:pPr>
      <w:r w:rsidRPr="00DF4A96">
        <w:t>assembling and installing casings, seals and screens</w:t>
      </w:r>
    </w:p>
    <w:p w:rsidR="00000000" w:rsidRPr="00DF4A96" w:rsidP="00DF4A96">
      <w:pPr>
        <w:pStyle w:val="ListBullet4"/>
      </w:pPr>
      <w:r w:rsidRPr="00DF4A96">
        <w:t xml:space="preserve">installing filter pack </w:t>
      </w:r>
    </w:p>
    <w:p w:rsidR="00000000" w:rsidRPr="00DF4A96" w:rsidP="00DF4A96">
      <w:pPr>
        <w:pStyle w:val="ListBullet4"/>
      </w:pPr>
      <w:r w:rsidRPr="00DF4A96">
        <w:t>grouting</w:t>
      </w:r>
    </w:p>
    <w:p w:rsidR="00000000" w:rsidRPr="00DF4A96" w:rsidP="00DF4A96">
      <w:pPr>
        <w:pStyle w:val="ListBullet3"/>
      </w:pPr>
      <w:r w:rsidRPr="00DF4A96">
        <w:t>confirming or amending bore design based on encountered geology, using:</w:t>
      </w:r>
    </w:p>
    <w:p w:rsidR="00000000" w:rsidRPr="00DF4A96" w:rsidP="00DF4A96">
      <w:pPr>
        <w:pStyle w:val="ListBullet4"/>
      </w:pPr>
      <w:r w:rsidRPr="00DF4A96">
        <w:t>lithological logging</w:t>
      </w:r>
    </w:p>
    <w:p w:rsidR="00000000" w:rsidRPr="00DF4A96" w:rsidP="00DF4A96">
      <w:pPr>
        <w:pStyle w:val="ListBullet4"/>
      </w:pPr>
      <w:r w:rsidRPr="00DF4A96">
        <w:t>aquifer yields testing</w:t>
      </w:r>
    </w:p>
    <w:p w:rsidR="00000000" w:rsidRPr="00DF4A96" w:rsidP="00DF4A96">
      <w:pPr>
        <w:pStyle w:val="ListBullet4"/>
      </w:pPr>
      <w:r w:rsidRPr="00DF4A96">
        <w:t>water quality testing</w:t>
      </w:r>
    </w:p>
    <w:p w:rsidR="00000000" w:rsidRPr="00DF4A96" w:rsidP="00DF4A96">
      <w:pPr>
        <w:pStyle w:val="ListBullet3"/>
      </w:pPr>
      <w:r w:rsidRPr="00DF4A96">
        <w:t>continuing development until a continuous, clean supply of water is obtained.</w:t>
      </w:r>
    </w:p>
    <w:p w:rsidR="00000000" w:rsidRPr="00DF4A96" w:rsidP="00DF4A96">
      <w:pPr>
        <w:pStyle w:val="ListBullet3"/>
      </w:pPr>
      <w:r w:rsidRPr="00DF4A96">
        <w:t>estimating yield by using methodologies of:</w:t>
      </w:r>
    </w:p>
    <w:p w:rsidR="00000000" w:rsidRPr="00DF4A96" w:rsidP="00DF4A96">
      <w:pPr>
        <w:pStyle w:val="ListBullet4"/>
      </w:pPr>
      <w:r w:rsidRPr="00DF4A96">
        <w:t>air lifting</w:t>
      </w:r>
    </w:p>
    <w:p w:rsidR="00000000" w:rsidRPr="00DF4A96" w:rsidP="00DF4A96">
      <w:pPr>
        <w:pStyle w:val="ListBullet4"/>
      </w:pPr>
      <w:r w:rsidRPr="00DF4A96">
        <w:t>pumping</w:t>
      </w:r>
    </w:p>
    <w:p w:rsidR="00000000" w:rsidRPr="00DF4A96" w:rsidP="00DF4A96">
      <w:pPr>
        <w:pStyle w:val="ListBullet2"/>
      </w:pPr>
      <w:r w:rsidRPr="00DF4A96">
        <w:t>disinfecting/decontaminating bore and drilling equipment in line w</w:t>
      </w:r>
      <w:r w:rsidRPr="00DF4A96">
        <w:t>ith established requirements, including:</w:t>
      </w:r>
    </w:p>
    <w:p w:rsidR="00000000" w:rsidRPr="00DF4A96" w:rsidP="00DF4A96">
      <w:pPr>
        <w:pStyle w:val="ListBullet3"/>
      </w:pPr>
      <w:r w:rsidRPr="00DF4A96">
        <w:t>disinfecting bores and installed equipment using proprietary chemical solution</w:t>
      </w:r>
    </w:p>
    <w:p w:rsidR="00000000" w:rsidRPr="00DF4A96" w:rsidP="00DF4A96">
      <w:pPr>
        <w:pStyle w:val="ListBullet2"/>
      </w:pPr>
      <w:r w:rsidRPr="00DF4A96">
        <w:t>decommissioning bore holes in line with established requirements</w:t>
      </w:r>
    </w:p>
    <w:p w:rsidR="00000000" w:rsidRPr="00DF4A96" w:rsidP="00DF4A96">
      <w:pPr>
        <w:pStyle w:val="ListBullet3"/>
      </w:pPr>
      <w:r w:rsidRPr="00DF4A96">
        <w:t>decommission single aquifer failed or unwanted bores as required.</w:t>
      </w:r>
    </w:p>
    <w:p w:rsidR="00000000" w:rsidRPr="00DF4A96" w:rsidP="00DF4A96">
      <w:pPr>
        <w:pStyle w:val="AllowPageBreak"/>
      </w:pPr>
    </w:p>
    <w:p w:rsidR="00000000" w:rsidRPr="00DF4A96" w:rsidP="00DF4A96">
      <w:pPr>
        <w:pStyle w:val="Heading1"/>
      </w:pPr>
      <w:bookmarkStart w:id="3" w:name="O_1107014"/>
      <w:bookmarkEnd w:id="3"/>
      <w:r w:rsidRPr="00DF4A96">
        <w:t>Knowledge Evidence</w:t>
      </w:r>
    </w:p>
    <w:p w:rsidR="00000000" w:rsidRPr="00DF4A96" w:rsidP="00350535">
      <w:pPr>
        <w:pStyle w:val="BodyText"/>
      </w:pPr>
      <w:r w:rsidRPr="00DF4A96">
        <w:t>The candidate must be able to demonstrate knowledge to complete the tasks outlined in the elements, performance criteria and foundation skills of this unit, including knowledge of:</w:t>
      </w:r>
    </w:p>
    <w:p w:rsidR="00000000" w:rsidRPr="00DF4A96" w:rsidP="00DF4A96">
      <w:pPr>
        <w:pStyle w:val="ListBullet"/>
      </w:pPr>
      <w:r w:rsidRPr="00DF4A96">
        <w:t>key legislation required to construct</w:t>
      </w:r>
      <w:r w:rsidRPr="00DF4A96">
        <w:t xml:space="preserve"> single aquifer bores</w:t>
      </w:r>
    </w:p>
    <w:p w:rsidR="00000000" w:rsidRPr="00DF4A96" w:rsidP="00DF4A96">
      <w:pPr>
        <w:pStyle w:val="ListBullet"/>
      </w:pPr>
      <w:r w:rsidRPr="00DF4A96">
        <w:t>key policies, procedures and established requirements for constructing single aquifer bores, including those for:</w:t>
      </w:r>
    </w:p>
    <w:p w:rsidR="00000000" w:rsidRPr="00DF4A96" w:rsidP="00DF4A96">
      <w:pPr>
        <w:pStyle w:val="ListBullet2"/>
      </w:pPr>
      <w:r w:rsidRPr="00DF4A96">
        <w:t>Minimum Construction Requirements (MCR)</w:t>
      </w:r>
    </w:p>
    <w:p w:rsidR="00000000" w:rsidRPr="00DF4A96" w:rsidP="00DF4A96">
      <w:pPr>
        <w:pStyle w:val="ListBullet2"/>
      </w:pPr>
      <w:r w:rsidRPr="00DF4A96">
        <w:t>contractual agreements with clients</w:t>
      </w:r>
    </w:p>
    <w:p w:rsidR="00000000" w:rsidRPr="00DF4A96" w:rsidP="00DF4A96">
      <w:pPr>
        <w:pStyle w:val="ListBullet2"/>
      </w:pPr>
      <w:r w:rsidRPr="00DF4A96">
        <w:t>workplace health and safety</w:t>
      </w:r>
    </w:p>
    <w:p w:rsidR="00000000" w:rsidRPr="00DF4A96" w:rsidP="00DF4A96">
      <w:pPr>
        <w:pStyle w:val="ListBullet2"/>
      </w:pPr>
      <w:r w:rsidRPr="00DF4A96">
        <w:t>environmental practice</w:t>
      </w:r>
    </w:p>
    <w:p w:rsidR="00000000" w:rsidRPr="00DF4A96" w:rsidP="00DF4A96">
      <w:pPr>
        <w:pStyle w:val="ListBullet2"/>
      </w:pPr>
      <w:r w:rsidRPr="00DF4A96">
        <w:t>accidents and emergencies</w:t>
      </w:r>
    </w:p>
    <w:p w:rsidR="00000000" w:rsidRPr="00DF4A96" w:rsidP="00DF4A96">
      <w:pPr>
        <w:pStyle w:val="ListBullet2"/>
      </w:pPr>
      <w:r w:rsidRPr="00DF4A96">
        <w:t>safety data sheets (SDS)</w:t>
      </w:r>
    </w:p>
    <w:p w:rsidR="00000000" w:rsidRPr="00DF4A96" w:rsidP="00DF4A96">
      <w:pPr>
        <w:pStyle w:val="ListBullet2"/>
      </w:pPr>
      <w:r w:rsidRPr="00DF4A96">
        <w:t>housekeeping</w:t>
      </w:r>
    </w:p>
    <w:p w:rsidR="00000000" w:rsidRPr="00DF4A96" w:rsidP="00DF4A96">
      <w:pPr>
        <w:pStyle w:val="ListBullet"/>
      </w:pPr>
      <w:r w:rsidRPr="00DF4A96">
        <w:t>key factors affecting multiple aquifer production bore performance, including:</w:t>
      </w:r>
    </w:p>
    <w:p w:rsidR="00000000" w:rsidRPr="00DF4A96" w:rsidP="00DF4A96">
      <w:pPr>
        <w:pStyle w:val="ListBullet2"/>
      </w:pPr>
      <w:r w:rsidRPr="00DF4A96">
        <w:t>objectives of bore development</w:t>
      </w:r>
    </w:p>
    <w:p w:rsidR="00000000" w:rsidRPr="00DF4A96" w:rsidP="00DF4A96">
      <w:pPr>
        <w:pStyle w:val="ListBullet2"/>
      </w:pPr>
      <w:r w:rsidRPr="00DF4A96">
        <w:t>properties, uses and effects of and differences between:</w:t>
      </w:r>
    </w:p>
    <w:p w:rsidR="00000000" w:rsidRPr="00DF4A96" w:rsidP="00DF4A96">
      <w:pPr>
        <w:pStyle w:val="ListBullet2"/>
      </w:pPr>
      <w:r w:rsidRPr="00DF4A96">
        <w:t>single and multiple aquifers</w:t>
      </w:r>
    </w:p>
    <w:p w:rsidR="00000000" w:rsidRPr="00DF4A96" w:rsidP="00DF4A96">
      <w:pPr>
        <w:pStyle w:val="ListBullet2"/>
      </w:pPr>
      <w:r w:rsidRPr="00DF4A96">
        <w:t>casings</w:t>
      </w:r>
    </w:p>
    <w:p w:rsidR="00000000" w:rsidRPr="00DF4A96" w:rsidP="00DF4A96">
      <w:pPr>
        <w:pStyle w:val="ListBullet2"/>
      </w:pPr>
      <w:r w:rsidRPr="00DF4A96">
        <w:t>bore water entry designs (screens, filter packs, slotted casing, open hole)</w:t>
      </w:r>
    </w:p>
    <w:p w:rsidR="00000000" w:rsidRPr="00DF4A96" w:rsidP="00DF4A96">
      <w:pPr>
        <w:pStyle w:val="ListBullet2"/>
      </w:pPr>
      <w:r w:rsidRPr="00DF4A96">
        <w:t>cement (grout) make up components</w:t>
      </w:r>
    </w:p>
    <w:p w:rsidR="00000000" w:rsidRPr="00DF4A96" w:rsidP="00DF4A96">
      <w:pPr>
        <w:pStyle w:val="ListBullet2"/>
      </w:pPr>
      <w:r w:rsidRPr="00DF4A96">
        <w:t>tremie pipe grout placement methods and procedures</w:t>
      </w:r>
    </w:p>
    <w:p w:rsidR="00000000" w:rsidRPr="00DF4A96" w:rsidP="00DF4A96">
      <w:pPr>
        <w:pStyle w:val="ListBullet2"/>
      </w:pPr>
      <w:r w:rsidRPr="00DF4A96">
        <w:t>hole preparation for cementing (grouting) operations</w:t>
      </w:r>
    </w:p>
    <w:p w:rsidR="00000000" w:rsidRPr="00DF4A96" w:rsidP="00DF4A96">
      <w:pPr>
        <w:pStyle w:val="ListBullet"/>
      </w:pPr>
      <w:r w:rsidRPr="00DF4A96">
        <w:t>calculations for:</w:t>
      </w:r>
    </w:p>
    <w:p w:rsidR="00000000" w:rsidRPr="00DF4A96" w:rsidP="00DF4A96">
      <w:pPr>
        <w:pStyle w:val="ListBullet2"/>
      </w:pPr>
      <w:r w:rsidRPr="00DF4A96">
        <w:t>volume (including tanks or bore holes of given dimensions and annulus)</w:t>
      </w:r>
    </w:p>
    <w:p w:rsidR="00000000" w:rsidRPr="00DF4A96" w:rsidP="00DF4A96">
      <w:pPr>
        <w:pStyle w:val="ListBullet2"/>
      </w:pPr>
      <w:r w:rsidRPr="00DF4A96">
        <w:t>flow rates</w:t>
      </w:r>
    </w:p>
    <w:p w:rsidR="00000000" w:rsidRPr="00DF4A96" w:rsidP="00DF4A96">
      <w:pPr>
        <w:pStyle w:val="ListBullet2"/>
      </w:pPr>
      <w:r w:rsidRPr="00DF4A96">
        <w:t>conversion from imperial to metric and vice versa</w:t>
      </w:r>
    </w:p>
    <w:p w:rsidR="00000000" w:rsidRPr="00DF4A96" w:rsidP="00DF4A96">
      <w:pPr>
        <w:pStyle w:val="ListBullet"/>
      </w:pPr>
      <w:r w:rsidRPr="00DF4A96">
        <w:t>equipment processes, technical capability and limitations</w:t>
      </w:r>
    </w:p>
    <w:p w:rsidR="00000000" w:rsidRPr="00DF4A96" w:rsidP="00DF4A96">
      <w:pPr>
        <w:pStyle w:val="ListBullet"/>
      </w:pPr>
      <w:r w:rsidRPr="00DF4A96">
        <w:t>casing strength characteristics</w:t>
      </w:r>
    </w:p>
    <w:p w:rsidR="00000000" w:rsidRPr="00DF4A96" w:rsidP="00DF4A96">
      <w:pPr>
        <w:pStyle w:val="ListBullet"/>
      </w:pPr>
      <w:r w:rsidRPr="00DF4A96">
        <w:t xml:space="preserve">ways in which </w:t>
      </w:r>
      <w:r w:rsidRPr="00DF4A96">
        <w:t>sampling errors can occur</w:t>
      </w:r>
    </w:p>
    <w:p w:rsidR="00000000" w:rsidRPr="00DF4A96" w:rsidP="00DF4A96">
      <w:pPr>
        <w:pStyle w:val="ListBullet"/>
      </w:pPr>
      <w:r w:rsidRPr="00DF4A96">
        <w:t>yield testing procedures</w:t>
      </w:r>
    </w:p>
    <w:p w:rsidR="00000000" w:rsidRPr="00DF4A96" w:rsidP="00DF4A96">
      <w:pPr>
        <w:pStyle w:val="ListBullet"/>
      </w:pPr>
      <w:r w:rsidRPr="00DF4A96">
        <w:t>applications for different types of filter packs (artificial pack, natural pack) and completion techniques</w:t>
      </w:r>
    </w:p>
    <w:p w:rsidR="00000000" w:rsidRPr="00DF4A96" w:rsidP="00DF4A96">
      <w:pPr>
        <w:pStyle w:val="ListBullet"/>
      </w:pPr>
      <w:r w:rsidRPr="00DF4A96">
        <w:t>characteristics of ‘good samples’ required for water well construction</w:t>
      </w:r>
    </w:p>
    <w:p w:rsidR="00000000" w:rsidRPr="00DF4A96" w:rsidP="00DF4A96">
      <w:pPr>
        <w:pStyle w:val="ListBullet"/>
      </w:pPr>
      <w:r w:rsidRPr="00DF4A96">
        <w:t>types of pathogens and cont</w:t>
      </w:r>
      <w:r w:rsidRPr="00DF4A96">
        <w:t>aminants including bacteria</w:t>
      </w:r>
    </w:p>
    <w:p w:rsidR="00000000" w:rsidRPr="00DF4A96" w:rsidP="00DF4A96">
      <w:pPr>
        <w:pStyle w:val="ListBullet"/>
      </w:pPr>
      <w:r w:rsidRPr="00DF4A96">
        <w:t>key site information, including:</w:t>
      </w:r>
    </w:p>
    <w:p w:rsidR="00000000" w:rsidRPr="00DF4A96" w:rsidP="00DF4A96">
      <w:pPr>
        <w:pStyle w:val="ListBullet2"/>
      </w:pPr>
      <w:r w:rsidRPr="00DF4A96">
        <w:t>basic geological formations, including soil and rock classifications, which permit groundwater movement</w:t>
      </w:r>
    </w:p>
    <w:p w:rsidR="00000000" w:rsidRPr="00DF4A96" w:rsidP="00DF4A96">
      <w:pPr>
        <w:pStyle w:val="ListBullet2"/>
      </w:pPr>
      <w:r w:rsidRPr="00DF4A96">
        <w:t>bore construction reporting.</w:t>
      </w:r>
    </w:p>
    <w:p w:rsidR="00000000" w:rsidRPr="00DF4A96" w:rsidP="00DF4A96">
      <w:pPr>
        <w:pStyle w:val="AllowPageBreak"/>
      </w:pPr>
    </w:p>
    <w:p w:rsidR="00000000" w:rsidRPr="00DF4A96" w:rsidP="00DF4A96">
      <w:pPr>
        <w:pStyle w:val="Heading1"/>
      </w:pPr>
      <w:bookmarkStart w:id="4" w:name="O_1107013"/>
      <w:bookmarkEnd w:id="4"/>
      <w:r w:rsidRPr="00DF4A96">
        <w:t>Assessment Conditions</w:t>
      </w:r>
    </w:p>
    <w:p w:rsidR="00000000" w:rsidRPr="00DF4A96" w:rsidP="00350535">
      <w:pPr>
        <w:pStyle w:val="BodyText"/>
      </w:pPr>
      <w:r w:rsidRPr="00DF4A96">
        <w:t>Mandatory conditions for assessment of this unit are stipulated below. The assessment must:</w:t>
      </w:r>
    </w:p>
    <w:p w:rsidR="00000000" w:rsidRPr="00DF4A96" w:rsidP="00DF4A96">
      <w:pPr>
        <w:pStyle w:val="ListBullet"/>
      </w:pPr>
      <w:r w:rsidRPr="00DF4A96">
        <w:t>include access to:</w:t>
      </w:r>
    </w:p>
    <w:p w:rsidR="00000000" w:rsidRPr="00DF4A96" w:rsidP="00DF4A96">
      <w:pPr>
        <w:pStyle w:val="ListBullet2"/>
      </w:pPr>
      <w:r w:rsidRPr="00DF4A96">
        <w:t>bore site(s)</w:t>
      </w:r>
    </w:p>
    <w:p w:rsidR="00000000" w:rsidRPr="00DF4A96" w:rsidP="00DF4A96">
      <w:pPr>
        <w:pStyle w:val="ListBullet2"/>
      </w:pPr>
      <w:r w:rsidRPr="00DF4A96">
        <w:t>drilling rig and equipment</w:t>
      </w:r>
    </w:p>
    <w:p w:rsidR="00000000" w:rsidRPr="00DF4A96" w:rsidP="00DF4A96">
      <w:pPr>
        <w:pStyle w:val="ListBullet2"/>
      </w:pPr>
      <w:r w:rsidRPr="00DF4A96">
        <w:t>water supply</w:t>
      </w:r>
    </w:p>
    <w:p w:rsidR="00000000" w:rsidRPr="00DF4A96" w:rsidP="00DF4A96">
      <w:pPr>
        <w:pStyle w:val="ListBullet2"/>
      </w:pPr>
      <w:r w:rsidRPr="00DF4A96">
        <w:t>cement grout (cement, water, and bentonite)</w:t>
      </w:r>
    </w:p>
    <w:p w:rsidR="00000000" w:rsidRPr="00DF4A96" w:rsidP="00DF4A96">
      <w:pPr>
        <w:pStyle w:val="ListBullet2"/>
      </w:pPr>
      <w:r w:rsidRPr="00DF4A96">
        <w:t>casings, seals and screens</w:t>
      </w:r>
    </w:p>
    <w:p w:rsidR="00000000" w:rsidRPr="00DF4A96" w:rsidP="00DF4A96">
      <w:pPr>
        <w:pStyle w:val="ListBullet2"/>
      </w:pPr>
      <w:r w:rsidRPr="00DF4A96">
        <w:t>filter pack materia</w:t>
      </w:r>
      <w:r w:rsidRPr="00DF4A96">
        <w:t>l</w:t>
      </w:r>
    </w:p>
    <w:p w:rsidR="00000000" w:rsidRPr="00DF4A96" w:rsidP="00DF4A96">
      <w:pPr>
        <w:pStyle w:val="ListBullet2"/>
      </w:pPr>
      <w:r w:rsidRPr="00DF4A96">
        <w:t>personal protective equipment</w:t>
      </w:r>
    </w:p>
    <w:p w:rsidR="00000000" w:rsidRPr="00DF4A96" w:rsidP="00DF4A96">
      <w:pPr>
        <w:pStyle w:val="ListBullet2"/>
      </w:pPr>
      <w:r w:rsidRPr="00DF4A96">
        <w:t>air compressor or pumping equipment</w:t>
      </w:r>
    </w:p>
    <w:p w:rsidR="00000000" w:rsidRPr="00DF4A96" w:rsidP="00DF4A96">
      <w:pPr>
        <w:pStyle w:val="ListBullet2"/>
      </w:pPr>
      <w:r w:rsidRPr="00DF4A96">
        <w:t>potable supply disinfectant</w:t>
      </w:r>
    </w:p>
    <w:p w:rsidR="00000000" w:rsidRPr="00DF4A96" w:rsidP="00DF4A96">
      <w:pPr>
        <w:pStyle w:val="ListBullet"/>
      </w:pPr>
      <w:r>
        <w:t>•</w:t>
      </w:r>
      <w:r>
        <w:tab/>
      </w:r>
      <w:r w:rsidRPr="00DF4A96">
        <w:t>be conducted in a safe environment</w:t>
      </w:r>
    </w:p>
    <w:p w:rsidR="00000000" w:rsidRPr="00DF4A96" w:rsidP="00DF4A96">
      <w:pPr>
        <w:pStyle w:val="ListBullet"/>
      </w:pPr>
      <w:r w:rsidRPr="00DF4A96">
        <w:t>be assessed in context of the sector</w:t>
      </w:r>
      <w:r>
        <w:t>’</w:t>
      </w:r>
      <w:r w:rsidRPr="00DF4A96">
        <w:t>s work environment</w:t>
      </w:r>
    </w:p>
    <w:p w:rsidR="00000000" w:rsidRPr="00DF4A96" w:rsidP="00DF4A96">
      <w:pPr>
        <w:pStyle w:val="ListBullet"/>
      </w:pPr>
      <w:r w:rsidRPr="00DF4A96">
        <w:t>be assessed in compliance with relevant legislation and regulations and using policies, procedures, processes and operational manuals directly related to the industry sector for which it is being assessed</w:t>
      </w:r>
    </w:p>
    <w:p w:rsidR="00000000" w:rsidRPr="00DF4A96" w:rsidP="00DF4A96">
      <w:pPr>
        <w:pStyle w:val="ListBullet"/>
      </w:pPr>
      <w:r w:rsidRPr="00DF4A96">
        <w:t xml:space="preserve">confirm consistent performance can be applied in a </w:t>
      </w:r>
      <w:r w:rsidRPr="00DF4A96">
        <w:t>range of relevant workplace circumstances.</w:t>
      </w:r>
    </w:p>
    <w:p w:rsidR="00000000" w:rsidRPr="00DF4A96" w:rsidP="00350535">
      <w:pPr>
        <w:pStyle w:val="BodyText"/>
      </w:pPr>
      <w:r w:rsidRPr="00DF4A96">
        <w:t>Where personal safety or environmental damage are limiting factors, assessment may occur in a simulated work environment* provided it is realistic and sufficiently rigorous to cover all aspects of this sector’s wo</w:t>
      </w:r>
      <w:r w:rsidRPr="00DF4A96">
        <w:t>rkplace performance, including environment, task skills, task management skills, contingency management skills and job role environment skills.</w:t>
      </w:r>
    </w:p>
    <w:p w:rsidR="00000000" w:rsidRPr="00DF4A96" w:rsidP="00DF4A96">
      <w:pPr>
        <w:pStyle w:val="BodyTextBold"/>
      </w:pPr>
      <w:r w:rsidRPr="00DF4A96">
        <w:t>Assessor requirements</w:t>
      </w:r>
    </w:p>
    <w:p w:rsidR="00000000" w:rsidRPr="00DF4A96" w:rsidP="00350535">
      <w:pPr>
        <w:pStyle w:val="BodyText"/>
      </w:pPr>
      <w:r w:rsidRPr="00DF4A96">
        <w:t xml:space="preserve">Assessors must be able to clearly demonstrate current and relevant industry knowledge and </w:t>
      </w:r>
      <w:r w:rsidRPr="00DF4A96">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DF4A96">
        <w:t>requirements. This includes:</w:t>
      </w:r>
    </w:p>
    <w:p w:rsidR="00000000" w:rsidRPr="00DF4A96" w:rsidP="00DF4A96">
      <w:pPr>
        <w:pStyle w:val="ListBullet"/>
      </w:pPr>
      <w:r w:rsidRPr="00DF4A96">
        <w:t>vocational competencies at least to the level being delivered and assessed</w:t>
      </w:r>
    </w:p>
    <w:p w:rsidR="00000000" w:rsidRPr="00DF4A96" w:rsidP="00DF4A96">
      <w:pPr>
        <w:pStyle w:val="ListBullet"/>
      </w:pPr>
      <w:r w:rsidRPr="00DF4A96">
        <w:t>current industry skills directly relevant to the training and assessment being provided</w:t>
      </w:r>
    </w:p>
    <w:p w:rsidR="00000000" w:rsidRPr="00DF4A96" w:rsidP="00DF4A96">
      <w:pPr>
        <w:pStyle w:val="ListBullet"/>
      </w:pPr>
      <w:r w:rsidRPr="00DF4A96">
        <w:t>current knowledge and skills in vocational training and learnin</w:t>
      </w:r>
      <w:r w:rsidRPr="00DF4A96">
        <w:t>g that informs their training and assessment</w:t>
      </w:r>
    </w:p>
    <w:p w:rsidR="00000000" w:rsidRPr="00DF4A96" w:rsidP="00DF4A96">
      <w:pPr>
        <w:pStyle w:val="ListBullet"/>
      </w:pPr>
      <w:r w:rsidRPr="00DF4A96">
        <w:t>formal relevant qualifications in training and assessment</w:t>
      </w:r>
    </w:p>
    <w:p w:rsidR="00000000" w:rsidRPr="00DF4A96" w:rsidP="00DF4A96">
      <w:pPr>
        <w:pStyle w:val="ListBullet"/>
      </w:pPr>
      <w:r w:rsidRPr="00DF4A96">
        <w:t xml:space="preserve">having knowledge of and/or experience using the latest techniques and processes </w:t>
      </w:r>
    </w:p>
    <w:p w:rsidR="00000000" w:rsidRPr="00DF4A96" w:rsidP="00DF4A96">
      <w:pPr>
        <w:pStyle w:val="ListBullet"/>
      </w:pPr>
      <w:r w:rsidRPr="00DF4A96">
        <w:t>possessing the required level of RII training product knowledge</w:t>
      </w:r>
    </w:p>
    <w:p w:rsidR="00000000" w:rsidRPr="00DF4A96" w:rsidP="00DF4A96">
      <w:pPr>
        <w:pStyle w:val="ListBullet"/>
      </w:pPr>
      <w:r w:rsidRPr="00DF4A96">
        <w:t>having a</w:t>
      </w:r>
      <w:r w:rsidRPr="00DF4A96">
        <w:t>n understanding and knowledge of legislation and regulations relevant to the industry and to employment and workplaces</w:t>
      </w:r>
    </w:p>
    <w:p w:rsidR="00000000" w:rsidRPr="00DF4A96" w:rsidP="00DF4A96">
      <w:pPr>
        <w:pStyle w:val="ListBullet"/>
      </w:pPr>
      <w:r w:rsidRPr="00DF4A96">
        <w:t>demonstrating the performance evidence, and knowledge evidence outlined in this unit of competency, and</w:t>
      </w:r>
    </w:p>
    <w:p w:rsidR="00000000" w:rsidRPr="00DF4A96" w:rsidP="00DF4A96">
      <w:pPr>
        <w:pStyle w:val="ListBullet"/>
      </w:pPr>
      <w:r w:rsidRPr="00DF4A96">
        <w:t>the minimum years of current** work experience after competency has been obtained as specified below in an industry sector relevant to the outcomes of the unit.</w:t>
      </w:r>
    </w:p>
    <w:p w:rsidR="00000000" w:rsidRPr="00DF4A96" w:rsidP="00350535">
      <w:pPr>
        <w:pStyle w:val="BodyText"/>
      </w:pPr>
      <w:r w:rsidRPr="00DF4A96">
        <w:t xml:space="preserve">It is also acceptable for the appropriately qualified assessor to work with an industry expert </w:t>
      </w:r>
      <w:r w:rsidRPr="00DF4A96">
        <w:t>to conduct assessment together and for the industry expert to be involved in the assessment judgement. The industry expert must have current industry skills directly relevant to the training and assessment being provided. This means the industry subject ma</w:t>
      </w:r>
      <w:r w:rsidRPr="00DF4A96">
        <w:t>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DF4A9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A96" w:rsidP="00DF4A96">
            <w:pPr>
              <w:pStyle w:val="BodyText"/>
            </w:pPr>
            <w:r w:rsidRPr="00DF4A9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A96" w:rsidP="00DF4A96">
            <w:pPr>
              <w:pStyle w:val="BodyText"/>
            </w:pPr>
            <w:r w:rsidRPr="00DF4A96">
              <w:rPr>
                <w:rStyle w:val="SpecialBold"/>
              </w:rPr>
              <w:t>AQF indicator level</w:t>
            </w:r>
            <w:r w:rsidRPr="00DF4A96">
              <w:rPr>
                <w:rStyle w:val="SpecialBold"/>
              </w:rPr>
              <w:t>***</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rPr>
                <w:rStyle w:val="SpecialBold"/>
              </w:rPr>
              <w:t>Required assessor or industry subject matter expert experience</w:t>
            </w:r>
          </w:p>
        </w:tc>
      </w:tr>
      <w:tr w:rsidTr="00DF4A9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Drilling, Metalliferous Mining, Coal Mining, Extractive (Quarrying)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1 year</w:t>
            </w:r>
          </w:p>
        </w:tc>
      </w:tr>
      <w:tr w:rsidTr="00DF4A9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2 years</w:t>
            </w:r>
          </w:p>
        </w:tc>
      </w:tr>
      <w:tr w:rsidTr="00DF4A9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Drilling, Coal Mining, Extractive (Quarrying), Metalliferous Mining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3 years</w:t>
            </w:r>
          </w:p>
        </w:tc>
      </w:tr>
      <w:tr w:rsidTr="00DF4A9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A96">
            <w:pPr>
              <w:pStyle w:val="BodyText"/>
              <w:rPr>
                <w:lang w:val="en-NZ"/>
              </w:rPr>
            </w:pPr>
            <w:r w:rsidRPr="00DF4A9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A96" w:rsidP="00DF4A96">
            <w:pPr>
              <w:pStyle w:val="BodyText"/>
            </w:pPr>
            <w:r w:rsidRPr="00DF4A96">
              <w:t>Where this unit is being assessed outside of the resources and infrastructure sectors assessor and/or industry subject matter expert exper</w:t>
            </w:r>
            <w:r w:rsidRPr="00DF4A96">
              <w:t>ience should be in-line with industry standards for the sector in which it is being assessed and where no industry standard is specified should comply with any relevant regulation.</w:t>
            </w:r>
          </w:p>
        </w:tc>
      </w:tr>
    </w:tbl>
    <w:p w:rsidR="00000000" w:rsidRPr="00DF4A96" w:rsidP="00350535">
      <w:pPr>
        <w:pStyle w:val="BodyText"/>
      </w:pPr>
      <w:r w:rsidRPr="00DF4A96">
        <w:t>*Guidance on simulated environments has been stipulated in the RII implementation guide located on VETNet.</w:t>
      </w:r>
    </w:p>
    <w:p w:rsidR="00000000" w:rsidRPr="00DF4A96" w:rsidP="00350535">
      <w:pPr>
        <w:pStyle w:val="BodyText"/>
      </w:pPr>
      <w:r w:rsidRPr="00DF4A96">
        <w:t>**Assessors can demonstrate current work experience through employment within industry in a role relevant to the outcomes of the unit; or, for extern</w:t>
      </w:r>
      <w:r w:rsidRPr="00DF4A96">
        <w:t>al assessors this can be demonstrated through exposure to industry by conducting a minimum number of site assessments as determined by the relevant industry sector, across various locations.</w:t>
      </w:r>
    </w:p>
    <w:p w:rsidR="00000000" w:rsidRPr="00DF4A96" w:rsidP="00350535">
      <w:pPr>
        <w:pStyle w:val="BodyText"/>
      </w:pPr>
      <w:r w:rsidRPr="00DF4A96">
        <w:t xml:space="preserve">*** While a Unit of competency does not have an AQF level, where </w:t>
      </w:r>
      <w:r w:rsidRPr="00DF4A96">
        <w:t>a unit is being delivered outside of a qualification the first numeric character in the unit code should be considered as the AQF indicator level for assessment purposes.</w:t>
      </w:r>
    </w:p>
    <w:p w:rsidR="00000000" w:rsidRPr="00DF4A96" w:rsidP="00DF4A96">
      <w:pPr>
        <w:pStyle w:val="Heading1"/>
      </w:pPr>
      <w:bookmarkStart w:id="5" w:name="O_1107011"/>
      <w:bookmarkEnd w:id="5"/>
      <w:r w:rsidRPr="00DF4A96">
        <w:t>Links</w:t>
      </w:r>
    </w:p>
    <w:p w:rsidR="00000000" w:rsidRPr="00DF4A96" w:rsidP="00350535">
      <w:pPr>
        <w:pStyle w:val="BodyText"/>
      </w:pPr>
      <w:r w:rsidRPr="00DF4A9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279DD">
        <w:rPr>
          <w:rStyle w:val="Hyperlink"/>
        </w:rPr>
        <w:t>https://vetnet.gov.au/Pages/TrainingDocs.aspx?q=88a61002-9a21-4386-aaf8-69c76e675272</w:t>
      </w:r>
      <w:r>
        <w:fldChar w:fldCharType="end"/>
      </w:r>
    </w:p>
    <w:p w:rsidR="00000000" w:rsidRPr="00DF4A96" w:rsidP="00DF4A96"/>
    <w:sectPr w:rsidSect="00DF4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96" w:rsidRPr="00350535" w:rsidP="00350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35" w:rsidP="00DF4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535" w:rsidP="00DF4A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0535" w:rsidP="00DF4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A96" w:rsidRPr="00350535" w:rsidP="00350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35" w:rsidRPr="002D2AF8" w:rsidP="00DF4A96">
    <w:pPr>
      <w:pStyle w:val="Header"/>
      <w:framePr w:wrap="around"/>
    </w:pPr>
    <w:r>
      <w:fldChar w:fldCharType="begin"/>
    </w:r>
    <w:r>
      <w:instrText xml:space="preserve"> TITLE   \* MERGEFORMAT </w:instrText>
    </w:r>
    <w:r>
      <w:fldChar w:fldCharType="separate"/>
    </w:r>
    <w:r>
      <w:t>Assessment Requirements for RIINHB325E Construct single aquifer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50535" w:rsidP="00DF4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08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A7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0D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A96"/>
    <w:pPr>
      <w:spacing w:before="360" w:after="60"/>
      <w:outlineLvl w:val="0"/>
    </w:pPr>
    <w:rPr>
      <w:sz w:val="32"/>
    </w:rPr>
  </w:style>
  <w:style w:type="paragraph" w:styleId="Heading2">
    <w:name w:val="heading 2"/>
    <w:basedOn w:val="HeadingBase"/>
    <w:next w:val="BodyText"/>
    <w:link w:val="Heading2Char"/>
    <w:qFormat/>
    <w:rsid w:val="00DF4A96"/>
    <w:pPr>
      <w:keepLines/>
      <w:spacing w:before="240" w:after="120"/>
      <w:outlineLvl w:val="1"/>
    </w:pPr>
    <w:rPr>
      <w:sz w:val="28"/>
      <w:szCs w:val="40"/>
    </w:rPr>
  </w:style>
  <w:style w:type="paragraph" w:styleId="Heading3">
    <w:name w:val="heading 3"/>
    <w:basedOn w:val="HeadingBase"/>
    <w:next w:val="BodyText"/>
    <w:link w:val="Heading3Char"/>
    <w:qFormat/>
    <w:rsid w:val="00DF4A96"/>
    <w:pPr>
      <w:spacing w:before="180" w:after="120"/>
      <w:outlineLvl w:val="2"/>
    </w:pPr>
    <w:rPr>
      <w:spacing w:val="-10"/>
      <w:kern w:val="32"/>
    </w:rPr>
  </w:style>
  <w:style w:type="paragraph" w:styleId="Heading4">
    <w:name w:val="heading 4"/>
    <w:basedOn w:val="HeadingBase"/>
    <w:next w:val="BodyText"/>
    <w:link w:val="Heading4Char"/>
    <w:qFormat/>
    <w:rsid w:val="00DF4A96"/>
    <w:pPr>
      <w:spacing w:before="160" w:after="120"/>
      <w:outlineLvl w:val="3"/>
    </w:pPr>
    <w:rPr>
      <w:sz w:val="22"/>
    </w:rPr>
  </w:style>
  <w:style w:type="paragraph" w:styleId="Heading5">
    <w:name w:val="heading 5"/>
    <w:basedOn w:val="HeadingBase"/>
    <w:next w:val="Normal"/>
    <w:link w:val="Heading5Char"/>
    <w:qFormat/>
    <w:rsid w:val="00DF4A96"/>
    <w:pPr>
      <w:spacing w:before="80"/>
      <w:outlineLvl w:val="4"/>
    </w:pPr>
    <w:rPr>
      <w:color w:val="918585"/>
      <w:sz w:val="20"/>
    </w:rPr>
  </w:style>
  <w:style w:type="paragraph" w:styleId="Heading6">
    <w:name w:val="heading 6"/>
    <w:basedOn w:val="HeadingBase"/>
    <w:next w:val="Normal"/>
    <w:link w:val="Heading6Char"/>
    <w:qFormat/>
    <w:rsid w:val="00DF4A96"/>
    <w:pPr>
      <w:spacing w:before="60"/>
      <w:outlineLvl w:val="5"/>
    </w:pPr>
    <w:rPr>
      <w:color w:val="918585"/>
      <w:sz w:val="20"/>
    </w:rPr>
  </w:style>
  <w:style w:type="paragraph" w:styleId="Heading7">
    <w:name w:val="heading 7"/>
    <w:basedOn w:val="Normal"/>
    <w:next w:val="Normal"/>
    <w:link w:val="Heading7Char"/>
    <w:qFormat/>
    <w:rsid w:val="00DF4A96"/>
    <w:pPr>
      <w:ind w:left="720"/>
      <w:outlineLvl w:val="6"/>
    </w:pPr>
    <w:rPr>
      <w:i/>
    </w:rPr>
  </w:style>
  <w:style w:type="paragraph" w:styleId="Heading8">
    <w:name w:val="heading 8"/>
    <w:basedOn w:val="Normal"/>
    <w:next w:val="Normal"/>
    <w:link w:val="Heading8Char"/>
    <w:qFormat/>
    <w:rsid w:val="00DF4A96"/>
    <w:pPr>
      <w:ind w:left="720"/>
      <w:outlineLvl w:val="7"/>
    </w:pPr>
    <w:rPr>
      <w:i/>
    </w:rPr>
  </w:style>
  <w:style w:type="paragraph" w:styleId="Heading9">
    <w:name w:val="heading 9"/>
    <w:basedOn w:val="Normal"/>
    <w:next w:val="Normal"/>
    <w:link w:val="Heading9Char"/>
    <w:qFormat/>
    <w:rsid w:val="00DF4A96"/>
    <w:pPr>
      <w:ind w:left="720"/>
      <w:outlineLvl w:val="8"/>
    </w:pPr>
    <w:rPr>
      <w:i/>
    </w:rPr>
  </w:style>
  <w:style w:type="character" w:default="1" w:styleId="DefaultParagraphFont">
    <w:name w:val="Default Paragraph Font"/>
    <w:uiPriority w:val="1"/>
    <w:unhideWhenUsed/>
    <w:rsid w:val="00DF4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A96"/>
  </w:style>
  <w:style w:type="character" w:customStyle="1" w:styleId="Heading1Char">
    <w:name w:val="Heading 1 Char"/>
    <w:basedOn w:val="DefaultParagraphFont"/>
    <w:link w:val="Heading1"/>
    <w:rsid w:val="00DF4A96"/>
    <w:rPr>
      <w:rFonts w:ascii="Times New Roman" w:eastAsia="Times New Roman" w:hAnsi="Times New Roman" w:cs="Times New Roman"/>
      <w:b/>
      <w:sz w:val="32"/>
      <w:szCs w:val="20"/>
      <w:lang w:eastAsia="en-US"/>
    </w:rPr>
  </w:style>
  <w:style w:type="paragraph" w:styleId="BodyText">
    <w:name w:val="Body Text"/>
    <w:basedOn w:val="Normal"/>
    <w:link w:val="BodyTextChar"/>
    <w:rsid w:val="00DF4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A96"/>
    <w:rPr>
      <w:rFonts w:ascii="Times New Roman" w:eastAsia="Times New Roman" w:hAnsi="Times New Roman" w:cs="Times New Roman"/>
      <w:sz w:val="24"/>
      <w:lang w:eastAsia="en-US"/>
    </w:rPr>
  </w:style>
  <w:style w:type="paragraph" w:styleId="ListBullet">
    <w:name w:val="List Bullet"/>
    <w:basedOn w:val="List"/>
    <w:rsid w:val="00DF4A96"/>
    <w:pPr>
      <w:numPr>
        <w:numId w:val="14"/>
      </w:numPr>
      <w:tabs>
        <w:tab w:val="clear" w:pos="340"/>
      </w:tabs>
      <w:spacing w:before="40" w:after="40"/>
    </w:pPr>
  </w:style>
  <w:style w:type="character" w:customStyle="1" w:styleId="SpecialBold">
    <w:name w:val="Special Bold"/>
    <w:basedOn w:val="DefaultParagraphFont"/>
    <w:rsid w:val="00DF4A96"/>
    <w:rPr>
      <w:b/>
      <w:spacing w:val="0"/>
    </w:rPr>
  </w:style>
  <w:style w:type="paragraph" w:styleId="ListBullet2">
    <w:name w:val="List Bullet 2"/>
    <w:basedOn w:val="List2"/>
    <w:rsid w:val="00DF4A96"/>
    <w:pPr>
      <w:numPr>
        <w:numId w:val="15"/>
      </w:numPr>
      <w:tabs>
        <w:tab w:val="clear" w:pos="680"/>
      </w:tabs>
    </w:pPr>
  </w:style>
  <w:style w:type="paragraph" w:customStyle="1" w:styleId="SuperHeading">
    <w:name w:val="SuperHeading"/>
    <w:basedOn w:val="Normal"/>
    <w:rsid w:val="00DF4A96"/>
    <w:pPr>
      <w:spacing w:before="240" w:after="120"/>
      <w:outlineLvl w:val="0"/>
    </w:pPr>
    <w:rPr>
      <w:rFonts w:ascii="Times New Roman" w:hAnsi="Times New Roman"/>
      <w:b/>
      <w:sz w:val="32"/>
    </w:rPr>
  </w:style>
  <w:style w:type="paragraph" w:customStyle="1" w:styleId="AllowPageBreak">
    <w:name w:val="AllowPageBreak"/>
    <w:rsid w:val="00DF4A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4A96"/>
    <w:pPr>
      <w:numPr>
        <w:numId w:val="3"/>
      </w:numPr>
      <w:tabs>
        <w:tab w:val="clear" w:pos="1021"/>
      </w:tabs>
      <w:ind w:left="1037" w:hanging="357"/>
    </w:pPr>
  </w:style>
  <w:style w:type="paragraph" w:styleId="ListBullet4">
    <w:name w:val="List Bullet 4"/>
    <w:basedOn w:val="List4"/>
    <w:rsid w:val="00DF4A96"/>
    <w:pPr>
      <w:numPr>
        <w:numId w:val="4"/>
      </w:numPr>
      <w:tabs>
        <w:tab w:val="clear" w:pos="1361"/>
      </w:tabs>
    </w:pPr>
  </w:style>
  <w:style w:type="paragraph" w:customStyle="1" w:styleId="BodyTextBold">
    <w:name w:val="Body Text Bold"/>
    <w:basedOn w:val="BodyText"/>
    <w:qFormat/>
    <w:rsid w:val="00DF4A96"/>
    <w:rPr>
      <w:b/>
    </w:rPr>
  </w:style>
  <w:style w:type="character" w:customStyle="1" w:styleId="Heading2Char">
    <w:name w:val="Heading 2 Char"/>
    <w:basedOn w:val="DefaultParagraphFont"/>
    <w:link w:val="Heading2"/>
    <w:rsid w:val="00DF4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A96"/>
    <w:rPr>
      <w:rFonts w:ascii="Courier New" w:eastAsia="Times New Roman" w:hAnsi="Courier New" w:cs="Times New Roman"/>
      <w:i/>
      <w:szCs w:val="20"/>
      <w:lang w:eastAsia="en-US"/>
    </w:rPr>
  </w:style>
  <w:style w:type="paragraph" w:customStyle="1" w:styleId="HeadingBase">
    <w:name w:val="Heading Base"/>
    <w:rsid w:val="00DF4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A96"/>
    <w:pPr>
      <w:tabs>
        <w:tab w:val="right" w:leader="dot" w:pos="9072"/>
      </w:tabs>
      <w:ind w:left="567"/>
    </w:pPr>
    <w:rPr>
      <w:szCs w:val="22"/>
    </w:rPr>
  </w:style>
  <w:style w:type="paragraph" w:customStyle="1" w:styleId="TOCBase">
    <w:name w:val="TOC Base"/>
    <w:rsid w:val="00DF4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A96"/>
    <w:pPr>
      <w:tabs>
        <w:tab w:val="right" w:leader="dot" w:pos="9072"/>
      </w:tabs>
      <w:spacing w:before="40" w:after="40"/>
      <w:ind w:left="284"/>
    </w:pPr>
    <w:rPr>
      <w:rFonts w:ascii="Times New Roman" w:hAnsi="Times New Roman"/>
    </w:rPr>
  </w:style>
  <w:style w:type="paragraph" w:styleId="TOC1">
    <w:name w:val="toc 1"/>
    <w:basedOn w:val="TOCBase"/>
    <w:next w:val="Normal"/>
    <w:rsid w:val="00DF4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A96"/>
    <w:rPr>
      <w:rFonts w:ascii="Times New Roman" w:eastAsia="Times New Roman" w:hAnsi="Times New Roman" w:cs="Times New Roman"/>
      <w:sz w:val="16"/>
      <w:lang w:eastAsia="en-US"/>
    </w:rPr>
  </w:style>
  <w:style w:type="paragraph" w:styleId="Title">
    <w:name w:val="Title"/>
    <w:basedOn w:val="HeadingBase"/>
    <w:link w:val="TitleChar"/>
    <w:qFormat/>
    <w:rsid w:val="00DF4A96"/>
    <w:pPr>
      <w:spacing w:before="5040"/>
      <w:jc w:val="center"/>
    </w:pPr>
    <w:rPr>
      <w:sz w:val="48"/>
      <w:szCs w:val="72"/>
      <w:lang w:val="en-US"/>
    </w:rPr>
  </w:style>
  <w:style w:type="character" w:customStyle="1" w:styleId="TitleChar">
    <w:name w:val="Title Char"/>
    <w:basedOn w:val="DefaultParagraphFont"/>
    <w:link w:val="Title"/>
    <w:rsid w:val="00DF4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A96"/>
    <w:pPr>
      <w:tabs>
        <w:tab w:val="left" w:pos="3600"/>
        <w:tab w:val="left" w:pos="3958"/>
      </w:tabs>
    </w:pPr>
  </w:style>
  <w:style w:type="paragraph" w:styleId="List">
    <w:name w:val="List"/>
    <w:basedOn w:val="BodyText"/>
    <w:next w:val="BodyText"/>
    <w:rsid w:val="00DF4A96"/>
    <w:pPr>
      <w:tabs>
        <w:tab w:val="left" w:pos="340"/>
      </w:tabs>
      <w:spacing w:before="60" w:after="60"/>
      <w:ind w:left="340" w:hanging="340"/>
    </w:pPr>
  </w:style>
  <w:style w:type="paragraph" w:customStyle="1" w:styleId="Note">
    <w:name w:val="Note"/>
    <w:basedOn w:val="BodyText"/>
    <w:rsid w:val="00DF4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A96"/>
    <w:pPr>
      <w:framePr w:wrap="auto" w:hAnchor="text" w:y="6049"/>
    </w:pPr>
    <w:rPr>
      <w:color w:val="000000"/>
      <w:sz w:val="40"/>
    </w:rPr>
  </w:style>
  <w:style w:type="paragraph" w:customStyle="1" w:styleId="TOCTitle">
    <w:name w:val="TOCTitle"/>
    <w:basedOn w:val="Heading1"/>
    <w:rsid w:val="00DF4A96"/>
    <w:pPr>
      <w:spacing w:after="240"/>
      <w:jc w:val="center"/>
      <w:outlineLvl w:val="9"/>
    </w:pPr>
    <w:rPr>
      <w:caps/>
    </w:rPr>
  </w:style>
  <w:style w:type="paragraph" w:customStyle="1" w:styleId="Version">
    <w:name w:val="Version"/>
    <w:rsid w:val="00DF4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A96"/>
    <w:pPr>
      <w:keepNext w:val="0"/>
      <w:tabs>
        <w:tab w:val="right" w:pos="4176"/>
      </w:tabs>
      <w:ind w:left="198" w:hanging="198"/>
    </w:pPr>
    <w:rPr>
      <w:rFonts w:ascii="Garamond" w:hAnsi="Garamond"/>
    </w:rPr>
  </w:style>
  <w:style w:type="paragraph" w:styleId="IndexHeading">
    <w:name w:val="index heading"/>
    <w:basedOn w:val="Normal"/>
    <w:next w:val="Index1"/>
    <w:semiHidden/>
    <w:rsid w:val="00DF4A96"/>
    <w:pPr>
      <w:spacing w:before="120" w:after="120"/>
    </w:pPr>
    <w:rPr>
      <w:rFonts w:ascii="Arial" w:hAnsi="Arial"/>
      <w:b/>
      <w:color w:val="918585"/>
      <w:sz w:val="24"/>
    </w:rPr>
  </w:style>
  <w:style w:type="paragraph" w:styleId="Header">
    <w:name w:val="header"/>
    <w:basedOn w:val="Normal"/>
    <w:link w:val="HeaderChar"/>
    <w:rsid w:val="00DF4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A96"/>
    <w:rPr>
      <w:rFonts w:ascii="Times New Roman" w:eastAsia="Times New Roman" w:hAnsi="Times New Roman" w:cs="Times New Roman"/>
      <w:sz w:val="16"/>
      <w:szCs w:val="20"/>
      <w:lang w:val="en-GB" w:eastAsia="en-US"/>
    </w:rPr>
  </w:style>
  <w:style w:type="paragraph" w:customStyle="1" w:styleId="Chapter">
    <w:name w:val="Chapter"/>
    <w:basedOn w:val="Normal"/>
    <w:rsid w:val="00DF4A96"/>
    <w:pPr>
      <w:spacing w:before="240"/>
    </w:pPr>
    <w:rPr>
      <w:rFonts w:ascii="Times New Roman" w:hAnsi="Times New Roman"/>
      <w:smallCaps/>
      <w:spacing w:val="80"/>
      <w:sz w:val="28"/>
    </w:rPr>
  </w:style>
  <w:style w:type="paragraph" w:customStyle="1" w:styleId="InChapter">
    <w:name w:val="InChapter"/>
    <w:basedOn w:val="Heading3"/>
    <w:rsid w:val="00DF4A96"/>
    <w:pPr>
      <w:spacing w:after="240"/>
      <w:outlineLvl w:val="9"/>
    </w:pPr>
    <w:rPr>
      <w:noProof/>
    </w:rPr>
  </w:style>
  <w:style w:type="paragraph" w:styleId="Index2">
    <w:name w:val="index 2"/>
    <w:basedOn w:val="Normal"/>
    <w:next w:val="Normal"/>
    <w:semiHidden/>
    <w:rsid w:val="00DF4A96"/>
    <w:pPr>
      <w:tabs>
        <w:tab w:val="right" w:pos="4176"/>
      </w:tabs>
      <w:ind w:left="568" w:hanging="284"/>
    </w:pPr>
    <w:rPr>
      <w:rFonts w:ascii="Garamond" w:hAnsi="Garamond"/>
    </w:rPr>
  </w:style>
  <w:style w:type="paragraph" w:customStyle="1" w:styleId="Byline">
    <w:name w:val="Byline"/>
    <w:rsid w:val="00DF4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A96"/>
    <w:pPr>
      <w:tabs>
        <w:tab w:val="clear" w:pos="3600"/>
        <w:tab w:val="clear" w:pos="3958"/>
      </w:tabs>
      <w:jc w:val="right"/>
    </w:pPr>
  </w:style>
  <w:style w:type="character" w:styleId="Emphasis">
    <w:name w:val="Emphasis"/>
    <w:basedOn w:val="DefaultParagraphFont"/>
    <w:qFormat/>
    <w:rsid w:val="00DF4A96"/>
    <w:rPr>
      <w:i/>
    </w:rPr>
  </w:style>
  <w:style w:type="paragraph" w:styleId="Caption">
    <w:name w:val="caption"/>
    <w:basedOn w:val="BodyText"/>
    <w:next w:val="Normal"/>
    <w:qFormat/>
    <w:rsid w:val="00DF4A96"/>
    <w:pPr>
      <w:framePr w:w="2268" w:hSpace="181" w:vSpace="181" w:wrap="around" w:vAnchor="text" w:hAnchor="page" w:x="1135" w:y="285" w:anchorLock="1"/>
    </w:pPr>
    <w:rPr>
      <w:i/>
    </w:rPr>
  </w:style>
  <w:style w:type="paragraph" w:customStyle="1" w:styleId="MiniTOCTitle">
    <w:name w:val="MiniTOCTitle"/>
    <w:basedOn w:val="Heading4"/>
    <w:rsid w:val="00DF4A96"/>
    <w:pPr>
      <w:spacing w:before="240"/>
      <w:outlineLvl w:val="9"/>
    </w:pPr>
    <w:rPr>
      <w:noProof/>
      <w:sz w:val="24"/>
    </w:rPr>
  </w:style>
  <w:style w:type="paragraph" w:customStyle="1" w:styleId="MiniTOCItem">
    <w:name w:val="MiniTOCItem"/>
    <w:basedOn w:val="ListBullet"/>
    <w:rsid w:val="00DF4A96"/>
    <w:pPr>
      <w:numPr>
        <w:numId w:val="0"/>
      </w:numPr>
      <w:tabs>
        <w:tab w:val="right" w:leader="dot" w:pos="6521"/>
      </w:tabs>
      <w:spacing w:before="0" w:after="0"/>
    </w:pPr>
  </w:style>
  <w:style w:type="paragraph" w:customStyle="1" w:styleId="TOFTitle">
    <w:name w:val="TOFTitle"/>
    <w:basedOn w:val="TOCTitle"/>
    <w:rsid w:val="00DF4A96"/>
  </w:style>
  <w:style w:type="paragraph" w:styleId="TableofFigures">
    <w:name w:val="table of figures"/>
    <w:basedOn w:val="Normal"/>
    <w:next w:val="Normal"/>
    <w:semiHidden/>
    <w:rsid w:val="00DF4A96"/>
    <w:pPr>
      <w:tabs>
        <w:tab w:val="right" w:leader="dot" w:pos="9072"/>
      </w:tabs>
      <w:ind w:left="970" w:hanging="403"/>
    </w:pPr>
    <w:rPr>
      <w:rFonts w:ascii="Times New Roman" w:hAnsi="Times New Roman"/>
      <w:b/>
    </w:rPr>
  </w:style>
  <w:style w:type="paragraph" w:styleId="ListNumber">
    <w:name w:val="List Number"/>
    <w:basedOn w:val="List"/>
    <w:rsid w:val="00DF4A96"/>
    <w:pPr>
      <w:numPr>
        <w:numId w:val="17"/>
      </w:numPr>
      <w:tabs>
        <w:tab w:val="clear" w:pos="340"/>
      </w:tabs>
    </w:pPr>
  </w:style>
  <w:style w:type="character" w:customStyle="1" w:styleId="WingdingSymbols">
    <w:name w:val="Wingding Symbols"/>
    <w:rsid w:val="00DF4A96"/>
    <w:rPr>
      <w:rFonts w:ascii="Wingdings" w:hAnsi="Wingdings"/>
    </w:rPr>
  </w:style>
  <w:style w:type="paragraph" w:customStyle="1" w:styleId="TableHeading">
    <w:name w:val="Table Heading"/>
    <w:basedOn w:val="HeadingBase"/>
    <w:rsid w:val="00DF4A96"/>
    <w:pPr>
      <w:keepLines/>
      <w:pBdr>
        <w:bottom w:val="single" w:sz="6" w:space="1" w:color="918585"/>
      </w:pBdr>
      <w:spacing w:before="240"/>
    </w:pPr>
  </w:style>
  <w:style w:type="character" w:customStyle="1" w:styleId="HotSpot">
    <w:name w:val="HotSpot"/>
    <w:rsid w:val="00DF4A96"/>
    <w:rPr>
      <w:color w:val="0033CC"/>
      <w:u w:val="none"/>
    </w:rPr>
  </w:style>
  <w:style w:type="paragraph" w:customStyle="1" w:styleId="BodyTextRight">
    <w:name w:val="Body Text Right"/>
    <w:basedOn w:val="BodyText"/>
    <w:rsid w:val="00DF4A96"/>
    <w:pPr>
      <w:spacing w:before="0" w:after="0"/>
      <w:jc w:val="right"/>
    </w:pPr>
  </w:style>
  <w:style w:type="paragraph" w:styleId="Index3">
    <w:name w:val="index 3"/>
    <w:basedOn w:val="ListNumber2"/>
    <w:next w:val="Normal"/>
    <w:semiHidden/>
    <w:rsid w:val="00DF4A96"/>
    <w:pPr>
      <w:numPr>
        <w:numId w:val="0"/>
      </w:numPr>
      <w:tabs>
        <w:tab w:val="right" w:leader="dot" w:pos="4176"/>
      </w:tabs>
    </w:pPr>
  </w:style>
  <w:style w:type="paragraph" w:styleId="ListNumber2">
    <w:name w:val="List Number 2"/>
    <w:basedOn w:val="List2"/>
    <w:rsid w:val="00DF4A96"/>
    <w:pPr>
      <w:numPr>
        <w:numId w:val="12"/>
      </w:numPr>
      <w:tabs>
        <w:tab w:val="clear" w:pos="1060"/>
      </w:tabs>
    </w:pPr>
  </w:style>
  <w:style w:type="paragraph" w:customStyle="1" w:styleId="MarginNote">
    <w:name w:val="Margin Note"/>
    <w:basedOn w:val="BodyText"/>
    <w:rsid w:val="00DF4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A96"/>
    <w:rPr>
      <w:sz w:val="32"/>
    </w:rPr>
  </w:style>
  <w:style w:type="paragraph" w:customStyle="1" w:styleId="HeadingProcedure">
    <w:name w:val="Heading Procedure"/>
    <w:basedOn w:val="HeadingBase"/>
    <w:next w:val="Normal"/>
    <w:rsid w:val="00DF4A96"/>
    <w:pPr>
      <w:tabs>
        <w:tab w:val="left" w:pos="0"/>
      </w:tabs>
      <w:spacing w:before="120" w:after="60"/>
    </w:pPr>
    <w:rPr>
      <w:i/>
      <w:color w:val="918585"/>
      <w:sz w:val="22"/>
    </w:rPr>
  </w:style>
  <w:style w:type="paragraph" w:customStyle="1" w:styleId="TableBodyText">
    <w:name w:val="Table Body Text"/>
    <w:basedOn w:val="BodyText"/>
    <w:rsid w:val="00DF4A96"/>
    <w:pPr>
      <w:spacing w:before="60" w:after="60"/>
    </w:pPr>
  </w:style>
  <w:style w:type="paragraph" w:styleId="ListContinue">
    <w:name w:val="List Continue"/>
    <w:basedOn w:val="List"/>
    <w:rsid w:val="00DF4A96"/>
    <w:pPr>
      <w:ind w:firstLine="0"/>
    </w:pPr>
  </w:style>
  <w:style w:type="paragraph" w:customStyle="1" w:styleId="ListNote">
    <w:name w:val="List Note"/>
    <w:basedOn w:val="List"/>
    <w:rsid w:val="00DF4A96"/>
    <w:pPr>
      <w:pBdr>
        <w:top w:val="single" w:sz="6" w:space="2" w:color="918585"/>
        <w:bottom w:val="single" w:sz="6" w:space="2" w:color="918585"/>
      </w:pBdr>
      <w:tabs>
        <w:tab w:val="left" w:pos="1021"/>
      </w:tabs>
      <w:ind w:firstLine="0"/>
    </w:pPr>
  </w:style>
  <w:style w:type="paragraph" w:customStyle="1" w:styleId="Warning">
    <w:name w:val="Warning"/>
    <w:basedOn w:val="BodyText"/>
    <w:rsid w:val="00DF4A96"/>
    <w:pPr>
      <w:shd w:val="clear" w:color="auto" w:fill="D9D9D9"/>
      <w:tabs>
        <w:tab w:val="left" w:pos="992"/>
      </w:tabs>
      <w:ind w:left="119" w:right="119"/>
    </w:pPr>
    <w:rPr>
      <w:sz w:val="20"/>
    </w:rPr>
  </w:style>
  <w:style w:type="paragraph" w:customStyle="1" w:styleId="MarginIcons">
    <w:name w:val="Margin Icons"/>
    <w:basedOn w:val="BodyText"/>
    <w:rsid w:val="00DF4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A96"/>
    <w:rPr>
      <w:rFonts w:ascii="Courier New" w:hAnsi="Courier New"/>
    </w:rPr>
  </w:style>
  <w:style w:type="paragraph" w:customStyle="1" w:styleId="NoteBullet">
    <w:name w:val="Note Bullet"/>
    <w:basedOn w:val="Note"/>
    <w:rsid w:val="00DF4A96"/>
    <w:pPr>
      <w:tabs>
        <w:tab w:val="clear" w:pos="680"/>
      </w:tabs>
      <w:spacing w:before="60" w:after="60"/>
    </w:pPr>
  </w:style>
  <w:style w:type="paragraph" w:customStyle="1" w:styleId="SubHeading2">
    <w:name w:val="SubHeading2"/>
    <w:basedOn w:val="HeadingBase"/>
    <w:rsid w:val="00DF4A96"/>
    <w:pPr>
      <w:spacing w:before="240" w:after="60"/>
    </w:pPr>
    <w:rPr>
      <w:sz w:val="20"/>
    </w:rPr>
  </w:style>
  <w:style w:type="paragraph" w:customStyle="1" w:styleId="SubHeading1">
    <w:name w:val="SubHeading1"/>
    <w:basedOn w:val="HeadingBase"/>
    <w:rsid w:val="00DF4A96"/>
    <w:pPr>
      <w:spacing w:before="240" w:after="60"/>
    </w:pPr>
    <w:rPr>
      <w:color w:val="918585"/>
      <w:sz w:val="22"/>
    </w:rPr>
  </w:style>
  <w:style w:type="paragraph" w:customStyle="1" w:styleId="SideHeading">
    <w:name w:val="Side Heading"/>
    <w:basedOn w:val="HeadingBase"/>
    <w:rsid w:val="00DF4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A96"/>
    <w:pPr>
      <w:numPr>
        <w:numId w:val="13"/>
      </w:numPr>
    </w:pPr>
  </w:style>
  <w:style w:type="paragraph" w:styleId="PlainText">
    <w:name w:val="Plain Text"/>
    <w:basedOn w:val="Normal"/>
    <w:link w:val="PlainTextChar"/>
    <w:rsid w:val="00DF4A96"/>
    <w:rPr>
      <w:sz w:val="20"/>
    </w:rPr>
  </w:style>
  <w:style w:type="character" w:customStyle="1" w:styleId="PlainTextChar">
    <w:name w:val="Plain Text Char"/>
    <w:basedOn w:val="DefaultParagraphFont"/>
    <w:link w:val="PlainText"/>
    <w:rsid w:val="00DF4A96"/>
    <w:rPr>
      <w:rFonts w:ascii="Courier New" w:eastAsia="Times New Roman" w:hAnsi="Courier New" w:cs="Times New Roman"/>
      <w:sz w:val="20"/>
      <w:szCs w:val="20"/>
      <w:lang w:eastAsia="en-US"/>
    </w:rPr>
  </w:style>
  <w:style w:type="character" w:customStyle="1" w:styleId="MenuOption">
    <w:name w:val="Menu Option"/>
    <w:basedOn w:val="DefaultParagraphFont"/>
    <w:rsid w:val="00DF4A96"/>
    <w:rPr>
      <w:b/>
      <w:smallCaps/>
    </w:rPr>
  </w:style>
  <w:style w:type="paragraph" w:customStyle="1" w:styleId="TableListNumber">
    <w:name w:val="Table List Number"/>
    <w:basedOn w:val="ListNumber"/>
    <w:rsid w:val="00DF4A96"/>
    <w:pPr>
      <w:numPr>
        <w:numId w:val="0"/>
      </w:numPr>
    </w:pPr>
  </w:style>
  <w:style w:type="paragraph" w:styleId="TOC4">
    <w:name w:val="toc 4"/>
    <w:basedOn w:val="TOCBase"/>
    <w:next w:val="Normal"/>
    <w:semiHidden/>
    <w:rsid w:val="00DF4A96"/>
    <w:pPr>
      <w:tabs>
        <w:tab w:val="right" w:leader="dot" w:pos="9071"/>
      </w:tabs>
      <w:ind w:left="1701"/>
    </w:pPr>
  </w:style>
  <w:style w:type="paragraph" w:customStyle="1" w:styleId="ListAlpha">
    <w:name w:val="List Alpha"/>
    <w:basedOn w:val="List"/>
    <w:rsid w:val="00DF4A96"/>
    <w:pPr>
      <w:numPr>
        <w:numId w:val="11"/>
      </w:numPr>
    </w:pPr>
  </w:style>
  <w:style w:type="paragraph" w:customStyle="1" w:styleId="ListAlpha2">
    <w:name w:val="List Alpha 2"/>
    <w:basedOn w:val="List2"/>
    <w:rsid w:val="00DF4A96"/>
    <w:pPr>
      <w:numPr>
        <w:numId w:val="10"/>
      </w:numPr>
    </w:pPr>
  </w:style>
  <w:style w:type="paragraph" w:styleId="List2">
    <w:name w:val="List 2"/>
    <w:basedOn w:val="BodyText"/>
    <w:rsid w:val="00DF4A96"/>
    <w:pPr>
      <w:tabs>
        <w:tab w:val="left" w:pos="680"/>
      </w:tabs>
      <w:spacing w:before="60" w:after="60"/>
      <w:ind w:left="680" w:hanging="340"/>
    </w:pPr>
  </w:style>
  <w:style w:type="paragraph" w:styleId="List3">
    <w:name w:val="List 3"/>
    <w:basedOn w:val="BodyText"/>
    <w:rsid w:val="00DF4A96"/>
    <w:pPr>
      <w:tabs>
        <w:tab w:val="left" w:pos="1021"/>
      </w:tabs>
      <w:spacing w:before="60" w:after="60"/>
      <w:ind w:left="1020" w:hanging="340"/>
    </w:pPr>
  </w:style>
  <w:style w:type="paragraph" w:styleId="List4">
    <w:name w:val="List 4"/>
    <w:basedOn w:val="BodyText"/>
    <w:rsid w:val="00DF4A96"/>
    <w:pPr>
      <w:tabs>
        <w:tab w:val="left" w:pos="1361"/>
      </w:tabs>
      <w:spacing w:before="60" w:after="60"/>
      <w:ind w:left="1361" w:hanging="340"/>
    </w:pPr>
  </w:style>
  <w:style w:type="paragraph" w:styleId="List5">
    <w:name w:val="List 5"/>
    <w:basedOn w:val="BodyText"/>
    <w:rsid w:val="00DF4A96"/>
    <w:pPr>
      <w:tabs>
        <w:tab w:val="left" w:pos="1701"/>
      </w:tabs>
      <w:spacing w:before="60" w:after="60"/>
      <w:ind w:left="1701" w:hanging="340"/>
    </w:pPr>
  </w:style>
  <w:style w:type="paragraph" w:styleId="ListBullet5">
    <w:name w:val="List Bullet 5"/>
    <w:basedOn w:val="List5"/>
    <w:rsid w:val="00DF4A96"/>
    <w:pPr>
      <w:numPr>
        <w:numId w:val="6"/>
      </w:numPr>
    </w:pPr>
  </w:style>
  <w:style w:type="paragraph" w:styleId="ListContinue2">
    <w:name w:val="List Continue 2"/>
    <w:basedOn w:val="List2"/>
    <w:rsid w:val="00DF4A96"/>
    <w:pPr>
      <w:ind w:firstLine="0"/>
    </w:pPr>
  </w:style>
  <w:style w:type="paragraph" w:styleId="ListContinue3">
    <w:name w:val="List Continue 3"/>
    <w:basedOn w:val="List3"/>
    <w:rsid w:val="00DF4A96"/>
    <w:pPr>
      <w:ind w:left="1021" w:firstLine="0"/>
    </w:pPr>
  </w:style>
  <w:style w:type="paragraph" w:styleId="ListContinue4">
    <w:name w:val="List Continue 4"/>
    <w:basedOn w:val="List4"/>
    <w:rsid w:val="00DF4A96"/>
    <w:pPr>
      <w:ind w:firstLine="0"/>
    </w:pPr>
  </w:style>
  <w:style w:type="paragraph" w:styleId="ListContinue5">
    <w:name w:val="List Continue 5"/>
    <w:basedOn w:val="List5"/>
    <w:rsid w:val="00DF4A96"/>
    <w:pPr>
      <w:ind w:firstLine="0"/>
    </w:pPr>
  </w:style>
  <w:style w:type="paragraph" w:styleId="ListNumber3">
    <w:name w:val="List Number 3"/>
    <w:basedOn w:val="List3"/>
    <w:rsid w:val="00DF4A96"/>
    <w:pPr>
      <w:numPr>
        <w:numId w:val="7"/>
      </w:numPr>
    </w:pPr>
  </w:style>
  <w:style w:type="paragraph" w:styleId="ListNumber4">
    <w:name w:val="List Number 4"/>
    <w:basedOn w:val="List4"/>
    <w:rsid w:val="00DF4A96"/>
    <w:pPr>
      <w:numPr>
        <w:numId w:val="8"/>
      </w:numPr>
    </w:pPr>
  </w:style>
  <w:style w:type="paragraph" w:styleId="ListNumber5">
    <w:name w:val="List Number 5"/>
    <w:basedOn w:val="List5"/>
    <w:rsid w:val="00DF4A96"/>
    <w:pPr>
      <w:numPr>
        <w:numId w:val="9"/>
      </w:numPr>
    </w:pPr>
  </w:style>
  <w:style w:type="paragraph" w:styleId="BlockText">
    <w:name w:val="Block Text"/>
    <w:basedOn w:val="Normal"/>
    <w:rsid w:val="00DF4A96"/>
    <w:pPr>
      <w:spacing w:after="120"/>
      <w:ind w:left="1440" w:right="1440"/>
    </w:pPr>
  </w:style>
  <w:style w:type="character" w:customStyle="1" w:styleId="Subscript">
    <w:name w:val="Subscript"/>
    <w:basedOn w:val="DefaultParagraphFont"/>
    <w:rsid w:val="00DF4A96"/>
    <w:rPr>
      <w:sz w:val="16"/>
      <w:vertAlign w:val="subscript"/>
    </w:rPr>
  </w:style>
  <w:style w:type="character" w:customStyle="1" w:styleId="Superscript">
    <w:name w:val="Superscript"/>
    <w:basedOn w:val="DefaultParagraphFont"/>
    <w:rsid w:val="00DF4A96"/>
    <w:rPr>
      <w:sz w:val="16"/>
      <w:vertAlign w:val="superscript"/>
    </w:rPr>
  </w:style>
  <w:style w:type="character" w:customStyle="1" w:styleId="Symbols">
    <w:name w:val="Symbols"/>
    <w:basedOn w:val="DefaultParagraphFont"/>
    <w:rsid w:val="00DF4A96"/>
    <w:rPr>
      <w:rFonts w:ascii="Symbol" w:hAnsi="Symbol"/>
    </w:rPr>
  </w:style>
  <w:style w:type="character" w:customStyle="1" w:styleId="MenuOptions">
    <w:name w:val="Menu Options"/>
    <w:basedOn w:val="DefaultParagraphFont"/>
    <w:rsid w:val="00DF4A96"/>
    <w:rPr>
      <w:rFonts w:ascii="Arial Narrow" w:hAnsi="Arial Narrow"/>
      <w:smallCaps/>
    </w:rPr>
  </w:style>
  <w:style w:type="character" w:customStyle="1" w:styleId="Buttons">
    <w:name w:val="Buttons"/>
    <w:basedOn w:val="DefaultParagraphFont"/>
    <w:rsid w:val="00DF4A96"/>
    <w:rPr>
      <w:b/>
    </w:rPr>
  </w:style>
  <w:style w:type="character" w:customStyle="1" w:styleId="Underlined">
    <w:name w:val="Underlined"/>
    <w:basedOn w:val="DefaultParagraphFont"/>
    <w:rsid w:val="00DF4A96"/>
    <w:rPr>
      <w:u w:val="single"/>
    </w:rPr>
  </w:style>
  <w:style w:type="paragraph" w:customStyle="1" w:styleId="TableBodyTextRight">
    <w:name w:val="Table Body Text Right"/>
    <w:basedOn w:val="TableBodyText"/>
    <w:rsid w:val="00DF4A96"/>
    <w:pPr>
      <w:widowControl w:val="0"/>
      <w:autoSpaceDE w:val="0"/>
      <w:autoSpaceDN w:val="0"/>
      <w:adjustRightInd w:val="0"/>
      <w:jc w:val="right"/>
    </w:pPr>
    <w:rPr>
      <w:rFonts w:cs="Arial"/>
      <w:szCs w:val="18"/>
    </w:rPr>
  </w:style>
  <w:style w:type="paragraph" w:customStyle="1" w:styleId="CopyrightText">
    <w:name w:val="Copyright Text"/>
    <w:basedOn w:val="BodyText"/>
    <w:rsid w:val="00DF4A96"/>
    <w:rPr>
      <w:sz w:val="18"/>
    </w:rPr>
  </w:style>
  <w:style w:type="paragraph" w:customStyle="1" w:styleId="BodySmallRight">
    <w:name w:val="Body Small Right"/>
    <w:basedOn w:val="BodyTextRight"/>
    <w:rsid w:val="00DF4A96"/>
    <w:rPr>
      <w:sz w:val="18"/>
      <w:szCs w:val="18"/>
    </w:rPr>
  </w:style>
  <w:style w:type="paragraph" w:customStyle="1" w:styleId="MarginEdition">
    <w:name w:val="Margin Edition"/>
    <w:basedOn w:val="MarginNote"/>
    <w:rsid w:val="00DF4A96"/>
    <w:pPr>
      <w:spacing w:before="0" w:after="0"/>
    </w:pPr>
    <w:rPr>
      <w:rFonts w:ascii="Times New Roman" w:hAnsi="Times New Roman"/>
      <w:color w:val="999999"/>
    </w:rPr>
  </w:style>
  <w:style w:type="paragraph" w:customStyle="1" w:styleId="Spacer">
    <w:name w:val="Spacer"/>
    <w:basedOn w:val="Normal"/>
    <w:rsid w:val="00DF4A96"/>
    <w:rPr>
      <w:sz w:val="2"/>
      <w:szCs w:val="2"/>
    </w:rPr>
  </w:style>
  <w:style w:type="character" w:customStyle="1" w:styleId="Small">
    <w:name w:val="Small"/>
    <w:basedOn w:val="DefaultParagraphFont"/>
    <w:rsid w:val="00DF4A96"/>
    <w:rPr>
      <w:sz w:val="16"/>
    </w:rPr>
  </w:style>
  <w:style w:type="paragraph" w:customStyle="1" w:styleId="WideTable">
    <w:name w:val="Wide Table"/>
    <w:basedOn w:val="Normal"/>
    <w:rsid w:val="00DF4A96"/>
    <w:pPr>
      <w:ind w:left="-1418"/>
    </w:pPr>
    <w:rPr>
      <w:sz w:val="2"/>
      <w:szCs w:val="2"/>
    </w:rPr>
  </w:style>
  <w:style w:type="character" w:styleId="PageNumber">
    <w:name w:val="page number"/>
    <w:basedOn w:val="DefaultParagraphFont"/>
    <w:rsid w:val="00DF4A96"/>
  </w:style>
  <w:style w:type="paragraph" w:styleId="Quote">
    <w:name w:val="Quote"/>
    <w:basedOn w:val="Heading1"/>
    <w:link w:val="QuoteChar"/>
    <w:qFormat/>
    <w:rsid w:val="00DF4A96"/>
    <w:rPr>
      <w:b w:val="0"/>
      <w:sz w:val="72"/>
      <w:szCs w:val="72"/>
      <w:lang w:val="en-NZ"/>
    </w:rPr>
  </w:style>
  <w:style w:type="character" w:customStyle="1" w:styleId="QuoteChar">
    <w:name w:val="Quote Char"/>
    <w:basedOn w:val="DefaultParagraphFont"/>
    <w:link w:val="Quote"/>
    <w:rsid w:val="00DF4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A96"/>
    <w:pPr>
      <w:pageBreakBefore/>
    </w:pPr>
  </w:style>
  <w:style w:type="paragraph" w:customStyle="1" w:styleId="Border">
    <w:name w:val="Border"/>
    <w:basedOn w:val="Normal"/>
    <w:qFormat/>
    <w:rsid w:val="00DF4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A96"/>
    <w:rPr>
      <w:b/>
      <w:bCs/>
      <w:i/>
      <w:iCs/>
      <w:color w:val="auto"/>
    </w:rPr>
  </w:style>
  <w:style w:type="paragraph" w:styleId="IntenseQuote">
    <w:name w:val="Intense Quote"/>
    <w:basedOn w:val="Normal"/>
    <w:next w:val="Normal"/>
    <w:link w:val="IntenseQuoteChar"/>
    <w:uiPriority w:val="30"/>
    <w:qFormat/>
    <w:rsid w:val="00DF4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A96"/>
    <w:rPr>
      <w:smallCaps/>
      <w:color w:val="auto"/>
      <w:u w:val="single"/>
    </w:rPr>
  </w:style>
  <w:style w:type="character" w:styleId="IntenseReference">
    <w:name w:val="Intense Reference"/>
    <w:basedOn w:val="DefaultParagraphFont"/>
    <w:uiPriority w:val="32"/>
    <w:qFormat/>
    <w:rsid w:val="00DF4A96"/>
    <w:rPr>
      <w:b/>
      <w:bCs/>
      <w:smallCaps/>
      <w:color w:val="auto"/>
      <w:spacing w:val="5"/>
      <w:u w:val="single"/>
    </w:rPr>
  </w:style>
  <w:style w:type="paragraph" w:customStyle="1" w:styleId="2ColumnHeading">
    <w:name w:val="2Column Heading"/>
    <w:basedOn w:val="BodyText"/>
    <w:qFormat/>
    <w:rsid w:val="00DF4A96"/>
    <w:pPr>
      <w:spacing w:after="60"/>
      <w:ind w:left="-2268"/>
    </w:pPr>
    <w:rPr>
      <w:b/>
    </w:rPr>
  </w:style>
  <w:style w:type="paragraph" w:customStyle="1" w:styleId="Heading1TOC">
    <w:name w:val="Heading1 TOC"/>
    <w:basedOn w:val="Normal"/>
    <w:qFormat/>
    <w:rsid w:val="00DF4A96"/>
    <w:pPr>
      <w:spacing w:before="240" w:after="120"/>
    </w:pPr>
    <w:rPr>
      <w:rFonts w:ascii="Times New Roman" w:hAnsi="Times New Roman"/>
      <w:b/>
      <w:sz w:val="32"/>
    </w:rPr>
  </w:style>
  <w:style w:type="paragraph" w:customStyle="1" w:styleId="Heading2TOC">
    <w:name w:val="Heading2 TOC"/>
    <w:basedOn w:val="Normal"/>
    <w:qFormat/>
    <w:rsid w:val="00DF4A96"/>
    <w:pPr>
      <w:spacing w:before="240" w:after="60"/>
    </w:pPr>
    <w:rPr>
      <w:rFonts w:ascii="Times New Roman" w:hAnsi="Times New Roman"/>
      <w:b/>
      <w:sz w:val="28"/>
    </w:rPr>
  </w:style>
  <w:style w:type="character" w:customStyle="1" w:styleId="Underline">
    <w:name w:val="Underline"/>
    <w:basedOn w:val="DefaultParagraphFont"/>
    <w:qFormat/>
    <w:rsid w:val="00DF4A96"/>
    <w:rPr>
      <w:u w:val="single"/>
    </w:rPr>
  </w:style>
  <w:style w:type="character" w:customStyle="1" w:styleId="BoldandItalics">
    <w:name w:val="Bold and Italics"/>
    <w:qFormat/>
    <w:rsid w:val="00DF4A96"/>
    <w:rPr>
      <w:b/>
      <w:i/>
      <w:u w:val="none"/>
    </w:rPr>
  </w:style>
  <w:style w:type="paragraph" w:styleId="BalloonText">
    <w:name w:val="Balloon Text"/>
    <w:basedOn w:val="Normal"/>
    <w:link w:val="BalloonTextChar"/>
    <w:rsid w:val="00DF4A96"/>
    <w:rPr>
      <w:rFonts w:ascii="Tahoma" w:hAnsi="Tahoma" w:cs="Tahoma"/>
      <w:sz w:val="16"/>
      <w:szCs w:val="16"/>
    </w:rPr>
  </w:style>
  <w:style w:type="character" w:customStyle="1" w:styleId="BalloonTextChar">
    <w:name w:val="Balloon Text Char"/>
    <w:basedOn w:val="DefaultParagraphFont"/>
    <w:link w:val="BalloonText"/>
    <w:rsid w:val="00DF4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A96"/>
    <w:rPr>
      <w:b/>
      <w:color w:val="660033"/>
      <w:spacing w:val="0"/>
    </w:rPr>
  </w:style>
  <w:style w:type="paragraph" w:customStyle="1" w:styleId="Nameditemlist">
    <w:name w:val="Named item list"/>
    <w:basedOn w:val="BodyText"/>
    <w:qFormat/>
    <w:rsid w:val="00DF4A96"/>
    <w:pPr>
      <w:tabs>
        <w:tab w:val="left" w:pos="2835"/>
      </w:tabs>
      <w:ind w:left="2835" w:hanging="2835"/>
    </w:pPr>
  </w:style>
  <w:style w:type="paragraph" w:customStyle="1" w:styleId="BodyTextnopadding">
    <w:name w:val="Body Text no padding"/>
    <w:basedOn w:val="BodyText"/>
    <w:qFormat/>
    <w:rsid w:val="00DF4A96"/>
    <w:pPr>
      <w:spacing w:before="0" w:after="0"/>
    </w:pPr>
  </w:style>
  <w:style w:type="character" w:styleId="Hyperlink">
    <w:name w:val="Hyperlink"/>
    <w:basedOn w:val="DefaultParagraphFont"/>
    <w:uiPriority w:val="99"/>
    <w:unhideWhenUsed/>
    <w:rsid w:val="00350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7598</Characters>
  <Application>Microsoft Office Word</Application>
  <DocSecurity>0</DocSecurity>
  <Lines>194</Lines>
  <Paragraphs>144</Paragraphs>
  <ScaleCrop>false</ScaleCrop>
  <Company>Author-it Software Corporation Ltd.</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RIINHB325E Construct single aquifer bores</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