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5F2" w:rsidP="000D35F2">
      <w:pPr>
        <w:pStyle w:val="Title"/>
      </w:pPr>
      <w:r>
        <w:fldChar w:fldCharType="begin"/>
      </w:r>
      <w:r>
        <w:instrText xml:space="preserve"> TITLE   \* MERGEFORMAT </w:instrText>
      </w:r>
      <w:r>
        <w:fldChar w:fldCharType="separate"/>
      </w:r>
      <w:r>
        <w:t>Assessment Requirements for RIINHB324E Conduct grouting or cementing operations</w:t>
      </w:r>
      <w:r>
        <w:fldChar w:fldCharType="end"/>
      </w:r>
    </w:p>
    <w:p w:rsidR="000D35F2" w:rsidP="000D35F2">
      <w:pPr>
        <w:pStyle w:val="Version"/>
        <w:sectPr w:rsidSect="004E2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EDD" w:rsidP="004E2EDD">
      <w:pPr>
        <w:pStyle w:val="SuperHeading"/>
      </w:pPr>
      <w:r w:rsidRPr="004E2EDD">
        <w:t>Assessment Requirements for RIINHB324E Conduct grouting or cementing operations</w:t>
      </w:r>
    </w:p>
    <w:p w:rsidR="00000000" w:rsidRPr="004E2EDD" w:rsidP="004E2EDD">
      <w:pPr>
        <w:pStyle w:val="Heading1"/>
      </w:pPr>
      <w:bookmarkStart w:id="1" w:name="O_1106996"/>
      <w:bookmarkEnd w:id="1"/>
      <w:r w:rsidRPr="004E2EDD">
        <w:t>Modification History</w:t>
      </w:r>
    </w:p>
    <w:tbl>
      <w:tblPr>
        <w:tblW w:w="9522" w:type="dxa"/>
        <w:tblLayout w:type="fixed"/>
        <w:tblCellMar>
          <w:left w:w="62" w:type="dxa"/>
          <w:right w:w="62" w:type="dxa"/>
        </w:tblCellMar>
        <w:tblLook w:val="0000"/>
      </w:tblPr>
      <w:tblGrid>
        <w:gridCol w:w="2929"/>
        <w:gridCol w:w="6593"/>
      </w:tblGrid>
      <w:tr w:rsidTr="004E2ED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DD" w:rsidP="004E2EDD">
            <w:pPr>
              <w:pStyle w:val="BodyText"/>
            </w:pPr>
            <w:r w:rsidRPr="004E2ED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DD">
            <w:pPr>
              <w:pStyle w:val="BodyText"/>
              <w:rPr>
                <w:lang w:val="en-NZ"/>
              </w:rPr>
            </w:pPr>
            <w:r w:rsidRPr="004E2EDD">
              <w:rPr>
                <w:rStyle w:val="SpecialBold"/>
              </w:rPr>
              <w:t>Comments</w:t>
            </w:r>
          </w:p>
        </w:tc>
      </w:tr>
      <w:tr w:rsidTr="004E2ED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DD">
            <w:pPr>
              <w:pStyle w:val="BodyText"/>
              <w:rPr>
                <w:lang w:val="en-NZ"/>
              </w:rPr>
            </w:pPr>
            <w:r w:rsidRPr="004E2ED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DD" w:rsidP="004E2EDD">
            <w:pPr>
              <w:pStyle w:val="BodyText"/>
            </w:pPr>
            <w:r w:rsidRPr="004E2EDD">
              <w:t>This version first released with RII Resources and Infrastructure Industry Training Package Version 5.0.</w:t>
            </w:r>
          </w:p>
        </w:tc>
      </w:tr>
    </w:tbl>
    <w:p w:rsidR="00000000" w:rsidRPr="004E2EDD" w:rsidP="004E2EDD">
      <w:pPr>
        <w:pStyle w:val="BodyText"/>
      </w:pPr>
    </w:p>
    <w:p w:rsidR="00000000" w:rsidRPr="004E2EDD" w:rsidP="004E2EDD">
      <w:pPr>
        <w:pStyle w:val="AllowPageBreak"/>
      </w:pPr>
    </w:p>
    <w:p w:rsidR="00000000" w:rsidRPr="004E2EDD" w:rsidP="004E2EDD">
      <w:pPr>
        <w:pStyle w:val="Heading1"/>
      </w:pPr>
      <w:bookmarkStart w:id="2" w:name="O_1106999"/>
      <w:bookmarkEnd w:id="2"/>
      <w:r w:rsidRPr="004E2EDD">
        <w:t>Performance Evidence</w:t>
      </w:r>
    </w:p>
    <w:p w:rsidR="00000000" w:rsidRPr="004E2EDD" w:rsidP="000D35F2">
      <w:pPr>
        <w:pStyle w:val="BodyText"/>
      </w:pPr>
      <w:r w:rsidRPr="004E2EDD">
        <w:t>The candidate must demonstrate the ability to complete the tasks outlined in the elements, performance criteria and foundation skills of this unit, including evidence of the ability to:</w:t>
      </w:r>
    </w:p>
    <w:p w:rsidR="00000000" w:rsidRPr="004E2EDD" w:rsidP="004E2EDD">
      <w:pPr>
        <w:pStyle w:val="ListBullet"/>
      </w:pPr>
      <w:r w:rsidRPr="004E2EDD">
        <w:t xml:space="preserve">conduct grouting or cementing </w:t>
      </w:r>
      <w:r w:rsidRPr="004E2EDD">
        <w:t>operations on at least two occasions, including:</w:t>
      </w:r>
    </w:p>
    <w:p w:rsidR="00000000" w:rsidRPr="004E2EDD" w:rsidP="004E2EDD">
      <w:pPr>
        <w:pStyle w:val="ListBullet2"/>
      </w:pPr>
      <w:r w:rsidRPr="004E2EDD">
        <w:t>determining and collecting required material and equipment by:</w:t>
      </w:r>
    </w:p>
    <w:p w:rsidR="00000000" w:rsidRPr="004E2EDD" w:rsidP="004E2EDD">
      <w:pPr>
        <w:pStyle w:val="ListBullet3"/>
      </w:pPr>
      <w:r w:rsidRPr="004E2EDD">
        <w:t>measuring tank dimensions to calculate tank capacity and required volume of material</w:t>
      </w:r>
    </w:p>
    <w:p w:rsidR="00000000" w:rsidRPr="004E2EDD" w:rsidP="004E2EDD">
      <w:pPr>
        <w:pStyle w:val="ListBullet3"/>
      </w:pPr>
      <w:r w:rsidRPr="004E2EDD">
        <w:t>calculating specific gravity of mixtures and hydrostatic pressures including pressure differences between annulus and inside of casing</w:t>
      </w:r>
    </w:p>
    <w:p w:rsidR="00000000" w:rsidRPr="004E2EDD" w:rsidP="004E2EDD">
      <w:pPr>
        <w:pStyle w:val="ListBullet2"/>
      </w:pPr>
      <w:r w:rsidRPr="004E2EDD">
        <w:t>selecting grouting or cementing techniques</w:t>
      </w:r>
    </w:p>
    <w:p w:rsidR="00000000" w:rsidRPr="004E2EDD" w:rsidP="004E2EDD">
      <w:pPr>
        <w:pStyle w:val="ListBullet2"/>
      </w:pPr>
      <w:r w:rsidRPr="004E2EDD">
        <w:t>mixing of grout or cement and any additives</w:t>
      </w:r>
    </w:p>
    <w:p w:rsidR="00000000" w:rsidRPr="004E2EDD" w:rsidP="004E2EDD">
      <w:pPr>
        <w:pStyle w:val="ListBullet2"/>
      </w:pPr>
      <w:r w:rsidRPr="004E2EDD">
        <w:t>operating mixing and cleaning/fil</w:t>
      </w:r>
      <w:r w:rsidRPr="004E2EDD">
        <w:t>tering equipment</w:t>
      </w:r>
    </w:p>
    <w:p w:rsidR="00000000" w:rsidRPr="004E2EDD" w:rsidP="004E2EDD">
      <w:pPr>
        <w:pStyle w:val="ListBullet2"/>
      </w:pPr>
      <w:r w:rsidRPr="004E2EDD">
        <w:t>applying cement placement methods, including:</w:t>
      </w:r>
    </w:p>
    <w:p w:rsidR="00000000" w:rsidRPr="004E2EDD" w:rsidP="004E2EDD">
      <w:pPr>
        <w:pStyle w:val="ListBullet3"/>
      </w:pPr>
      <w:r w:rsidRPr="004E2EDD">
        <w:t>tremie on at least one of the occasions</w:t>
      </w:r>
    </w:p>
    <w:p w:rsidR="00000000" w:rsidRPr="004E2EDD" w:rsidP="004E2EDD">
      <w:pPr>
        <w:pStyle w:val="ListBullet3"/>
      </w:pPr>
      <w:r w:rsidRPr="004E2EDD">
        <w:t>pressure cementing on at least two of the occasions</w:t>
      </w:r>
    </w:p>
    <w:p w:rsidR="00000000" w:rsidRPr="004E2EDD" w:rsidP="004E2EDD">
      <w:pPr>
        <w:pStyle w:val="ListBullet2"/>
      </w:pPr>
      <w:r w:rsidRPr="004E2EDD">
        <w:t>constructing well heads and installing hole security devices where required</w:t>
      </w:r>
    </w:p>
    <w:p w:rsidR="00000000" w:rsidRPr="004E2EDD" w:rsidP="004E2EDD">
      <w:pPr>
        <w:pStyle w:val="ListBullet2"/>
      </w:pPr>
      <w:r w:rsidRPr="004E2EDD">
        <w:t>ensuring there is no spillage of grout, cement or additives</w:t>
      </w:r>
    </w:p>
    <w:p w:rsidR="00000000" w:rsidRPr="004E2EDD" w:rsidP="004E2EDD">
      <w:pPr>
        <w:pStyle w:val="ListBullet2"/>
      </w:pPr>
      <w:r w:rsidRPr="004E2EDD">
        <w:t>disposing any excess grout or cement</w:t>
      </w:r>
    </w:p>
    <w:p w:rsidR="00000000" w:rsidRPr="004E2EDD" w:rsidP="004E2EDD">
      <w:pPr>
        <w:pStyle w:val="ListBullet2"/>
      </w:pPr>
      <w:r w:rsidRPr="004E2EDD">
        <w:t>cleaning and storing tools and equipment used.</w:t>
      </w:r>
    </w:p>
    <w:p w:rsidR="00000000" w:rsidRPr="004E2EDD" w:rsidP="004E2EDD">
      <w:pPr>
        <w:pStyle w:val="List"/>
      </w:pPr>
    </w:p>
    <w:p w:rsidR="00000000" w:rsidRPr="004E2EDD" w:rsidP="000D35F2">
      <w:pPr>
        <w:pStyle w:val="BodyText"/>
      </w:pPr>
      <w:r w:rsidRPr="004E2EDD">
        <w:t>During the above, the candidate must:</w:t>
      </w:r>
    </w:p>
    <w:p w:rsidR="00000000" w:rsidRPr="004E2EDD" w:rsidP="004E2EDD">
      <w:pPr>
        <w:pStyle w:val="ListBullet"/>
      </w:pPr>
      <w:r w:rsidRPr="004E2EDD">
        <w:t>locate and apply relevant documentation, policies and procedures</w:t>
      </w:r>
    </w:p>
    <w:p w:rsidR="00000000" w:rsidRPr="004E2EDD" w:rsidP="004E2EDD">
      <w:pPr>
        <w:pStyle w:val="ListBullet"/>
      </w:pPr>
      <w:r w:rsidRPr="004E2EDD">
        <w:t>select and wear personal protective equipment required for work activities</w:t>
      </w:r>
    </w:p>
    <w:p w:rsidR="00000000" w:rsidRPr="004E2EDD" w:rsidP="004E2EDD">
      <w:pPr>
        <w:pStyle w:val="ListBullet"/>
      </w:pPr>
      <w:r w:rsidRPr="004E2EDD">
        <w:t>record casing lengths and quantities accurately</w:t>
      </w:r>
    </w:p>
    <w:p w:rsidR="00000000" w:rsidRPr="004E2EDD" w:rsidP="004E2EDD">
      <w:pPr>
        <w:pStyle w:val="ListBullet"/>
      </w:pPr>
      <w:r w:rsidRPr="004E2EDD">
        <w:t>confirm consistency and accuracy of placed grout or cement</w:t>
      </w:r>
    </w:p>
    <w:p w:rsidR="00000000" w:rsidRPr="004E2EDD" w:rsidP="004E2EDD">
      <w:pPr>
        <w:pStyle w:val="ListBullet"/>
      </w:pPr>
      <w:r w:rsidRPr="004E2EDD">
        <w:t>identify operational problems in equipment or process and apply problem so</w:t>
      </w:r>
      <w:r w:rsidRPr="004E2EDD">
        <w:t>lving techniques or report within the scope of own responsibility</w:t>
      </w:r>
    </w:p>
    <w:p w:rsidR="00000000" w:rsidRPr="004E2EDD" w:rsidP="004E2EDD">
      <w:pPr>
        <w:pStyle w:val="ListBullet"/>
      </w:pPr>
      <w:r w:rsidRPr="004E2EDD">
        <w:t>use a range of communication techniques and equipment essential to the safe completion of work activity, including hand, audible and other signals</w:t>
      </w:r>
    </w:p>
    <w:p w:rsidR="00000000" w:rsidRPr="004E2EDD" w:rsidP="004E2EDD">
      <w:pPr>
        <w:pStyle w:val="ListBullet"/>
      </w:pPr>
      <w:r w:rsidRPr="004E2EDD">
        <w:t>meet written and verbal reporting requireme</w:t>
      </w:r>
      <w:r w:rsidRPr="004E2EDD">
        <w:t>nts and procedures associated with equipment operations.</w:t>
      </w:r>
    </w:p>
    <w:p w:rsidR="00000000" w:rsidRPr="004E2EDD" w:rsidP="004E2EDD">
      <w:pPr>
        <w:pStyle w:val="AllowPageBreak"/>
      </w:pPr>
    </w:p>
    <w:p w:rsidR="00000000" w:rsidRPr="004E2EDD" w:rsidP="004E2EDD">
      <w:pPr>
        <w:pStyle w:val="Heading1"/>
      </w:pPr>
      <w:bookmarkStart w:id="3" w:name="O_1106998"/>
      <w:bookmarkEnd w:id="3"/>
      <w:r w:rsidRPr="004E2EDD">
        <w:t>Knowledge Evidence</w:t>
      </w:r>
    </w:p>
    <w:p w:rsidR="00000000" w:rsidRPr="004E2EDD" w:rsidP="000D35F2">
      <w:pPr>
        <w:pStyle w:val="BodyText"/>
      </w:pPr>
      <w:r w:rsidRPr="004E2EDD">
        <w:t>The candidate must be able to demonstrate knowledge to complete the tasks outlined in the elements, performance criteria and foundation skills of this unit, incl</w:t>
      </w:r>
      <w:r w:rsidRPr="004E2EDD">
        <w:t xml:space="preserve">uding knowledge of: </w:t>
      </w:r>
    </w:p>
    <w:p w:rsidR="00000000" w:rsidRPr="004E2EDD" w:rsidP="004E2EDD">
      <w:pPr>
        <w:pStyle w:val="ListBullet"/>
      </w:pPr>
      <w:r w:rsidRPr="004E2EDD">
        <w:t xml:space="preserve">key policies, procedures and established requirements to conduct grouting or cementing operations, including those for: </w:t>
      </w:r>
    </w:p>
    <w:p w:rsidR="00000000" w:rsidRPr="004E2EDD" w:rsidP="004E2EDD">
      <w:pPr>
        <w:pStyle w:val="ListBullet2"/>
      </w:pPr>
      <w:r w:rsidRPr="004E2EDD">
        <w:t>Minimum Construction Requirements (MCR)</w:t>
      </w:r>
    </w:p>
    <w:p w:rsidR="00000000" w:rsidRPr="004E2EDD" w:rsidP="004E2EDD">
      <w:pPr>
        <w:pStyle w:val="ListBullet2"/>
      </w:pPr>
      <w:r w:rsidRPr="004E2EDD">
        <w:t>workplace health and safety</w:t>
      </w:r>
    </w:p>
    <w:p w:rsidR="00000000" w:rsidRPr="004E2EDD" w:rsidP="004E2EDD">
      <w:pPr>
        <w:pStyle w:val="ListBullet2"/>
      </w:pPr>
      <w:r w:rsidRPr="004E2EDD">
        <w:t>environmental practice</w:t>
      </w:r>
    </w:p>
    <w:p w:rsidR="00000000" w:rsidRPr="004E2EDD" w:rsidP="004E2EDD">
      <w:pPr>
        <w:pStyle w:val="ListBullet2"/>
      </w:pPr>
      <w:r w:rsidRPr="004E2EDD">
        <w:t>relevant equipment an</w:t>
      </w:r>
      <w:r w:rsidRPr="004E2EDD">
        <w:t>d material manufacturer or supplier specifications</w:t>
      </w:r>
    </w:p>
    <w:p w:rsidR="00000000" w:rsidRPr="004E2EDD" w:rsidP="004E2EDD">
      <w:pPr>
        <w:pStyle w:val="ListBullet2"/>
      </w:pPr>
      <w:r w:rsidRPr="004E2EDD">
        <w:t>accidents and emergencies</w:t>
      </w:r>
    </w:p>
    <w:p w:rsidR="00000000" w:rsidRPr="004E2EDD" w:rsidP="004E2EDD">
      <w:pPr>
        <w:pStyle w:val="ListBullet2"/>
      </w:pPr>
      <w:r w:rsidRPr="004E2EDD">
        <w:t>housekeeping</w:t>
      </w:r>
    </w:p>
    <w:p w:rsidR="00000000" w:rsidRPr="004E2EDD" w:rsidP="004E2EDD">
      <w:pPr>
        <w:pStyle w:val="ListBullet2"/>
      </w:pPr>
      <w:r w:rsidRPr="004E2EDD">
        <w:t>safety data sheets (SDS)</w:t>
      </w:r>
    </w:p>
    <w:p w:rsidR="00000000" w:rsidRPr="004E2EDD" w:rsidP="004E2EDD">
      <w:pPr>
        <w:pStyle w:val="ListBullet2"/>
      </w:pPr>
      <w:r w:rsidRPr="004E2EDD">
        <w:t>disposal of hazardous materials</w:t>
      </w:r>
    </w:p>
    <w:p w:rsidR="00000000" w:rsidRPr="004E2EDD" w:rsidP="004E2EDD">
      <w:pPr>
        <w:pStyle w:val="ListBullet"/>
      </w:pPr>
      <w:r w:rsidRPr="004E2EDD">
        <w:t>key features associated with conducting grouting and cementing techniques, including:</w:t>
      </w:r>
    </w:p>
    <w:p w:rsidR="00000000" w:rsidRPr="004E2EDD" w:rsidP="004E2EDD">
      <w:pPr>
        <w:pStyle w:val="ListBullet2"/>
      </w:pPr>
      <w:r w:rsidRPr="004E2EDD">
        <w:t>properties and</w:t>
      </w:r>
      <w:r w:rsidRPr="004E2EDD">
        <w:t xml:space="preserve"> effects of grout, cement or cement additives, including:</w:t>
      </w:r>
    </w:p>
    <w:p w:rsidR="00000000" w:rsidRPr="004E2EDD" w:rsidP="004E2EDD">
      <w:pPr>
        <w:pStyle w:val="ListBullet3"/>
      </w:pPr>
      <w:r w:rsidRPr="004E2EDD">
        <w:t>bentonite</w:t>
      </w:r>
    </w:p>
    <w:p w:rsidR="00000000" w:rsidRPr="004E2EDD" w:rsidP="004E2EDD">
      <w:pPr>
        <w:pStyle w:val="ListBullet3"/>
      </w:pPr>
      <w:r w:rsidRPr="004E2EDD">
        <w:t>fibreglass</w:t>
      </w:r>
    </w:p>
    <w:p w:rsidR="00000000" w:rsidRPr="004E2EDD" w:rsidP="004E2EDD">
      <w:pPr>
        <w:pStyle w:val="ListBullet3"/>
      </w:pPr>
      <w:r w:rsidRPr="004E2EDD">
        <w:t>spheres</w:t>
      </w:r>
    </w:p>
    <w:p w:rsidR="00000000" w:rsidRPr="004E2EDD" w:rsidP="004E2EDD">
      <w:pPr>
        <w:pStyle w:val="ListBullet3"/>
      </w:pPr>
      <w:r w:rsidRPr="004E2EDD">
        <w:t>accelerators and retardants</w:t>
      </w:r>
    </w:p>
    <w:p w:rsidR="00000000" w:rsidRPr="004E2EDD" w:rsidP="004E2EDD">
      <w:pPr>
        <w:pStyle w:val="ListBullet3"/>
      </w:pPr>
      <w:r w:rsidRPr="004E2EDD">
        <w:t>loss circulation materials</w:t>
      </w:r>
    </w:p>
    <w:p w:rsidR="00000000" w:rsidRPr="004E2EDD" w:rsidP="004E2EDD">
      <w:pPr>
        <w:pStyle w:val="ListBullet2"/>
      </w:pPr>
      <w:r w:rsidRPr="004E2EDD">
        <w:t>possible effects of grout, cement or cement additives on health</w:t>
      </w:r>
    </w:p>
    <w:p w:rsidR="00000000" w:rsidRPr="004E2EDD" w:rsidP="004E2EDD">
      <w:pPr>
        <w:pStyle w:val="ListBullet2"/>
      </w:pPr>
      <w:r w:rsidRPr="004E2EDD">
        <w:t>team roles and objectives during grouting or cementing operations.</w:t>
      </w:r>
    </w:p>
    <w:p w:rsidR="00000000" w:rsidRPr="004E2EDD" w:rsidP="004E2EDD">
      <w:pPr>
        <w:pStyle w:val="AllowPageBreak"/>
      </w:pPr>
    </w:p>
    <w:p w:rsidR="00000000" w:rsidRPr="004E2EDD" w:rsidP="004E2EDD">
      <w:pPr>
        <w:pStyle w:val="Heading1"/>
      </w:pPr>
      <w:bookmarkStart w:id="4" w:name="O_1106997"/>
      <w:bookmarkEnd w:id="4"/>
      <w:r w:rsidRPr="004E2EDD">
        <w:t>Assessment Conditions</w:t>
      </w:r>
    </w:p>
    <w:p w:rsidR="00000000" w:rsidRPr="004E2EDD" w:rsidP="000D35F2">
      <w:pPr>
        <w:pStyle w:val="BodyText"/>
      </w:pPr>
      <w:r w:rsidRPr="004E2EDD">
        <w:t>Mandatory conditions for assessment of this unit are stipulated below. The assessment must:</w:t>
      </w:r>
    </w:p>
    <w:p w:rsidR="00000000" w:rsidRPr="004E2EDD" w:rsidP="004E2EDD">
      <w:pPr>
        <w:pStyle w:val="ListBullet"/>
      </w:pPr>
      <w:r w:rsidRPr="004E2EDD">
        <w:t>include access to:</w:t>
      </w:r>
    </w:p>
    <w:p w:rsidR="00000000" w:rsidRPr="004E2EDD" w:rsidP="004E2EDD">
      <w:pPr>
        <w:pStyle w:val="ListBullet2"/>
      </w:pPr>
      <w:r w:rsidRPr="004E2EDD">
        <w:t>grout or cement and additives</w:t>
      </w:r>
    </w:p>
    <w:p w:rsidR="00000000" w:rsidRPr="004E2EDD" w:rsidP="004E2EDD">
      <w:pPr>
        <w:pStyle w:val="ListBullet2"/>
      </w:pPr>
      <w:r w:rsidRPr="004E2EDD">
        <w:t>mixing equipment, pumps, hoses and tools</w:t>
      </w:r>
    </w:p>
    <w:p w:rsidR="00000000" w:rsidRPr="004E2EDD" w:rsidP="004E2EDD">
      <w:pPr>
        <w:pStyle w:val="ListBullet2"/>
      </w:pPr>
      <w:r w:rsidRPr="004E2EDD">
        <w:t>drill hole</w:t>
      </w:r>
    </w:p>
    <w:p w:rsidR="00000000" w:rsidRPr="004E2EDD" w:rsidP="004E2EDD">
      <w:pPr>
        <w:pStyle w:val="ListBullet2"/>
      </w:pPr>
      <w:r w:rsidRPr="004E2EDD">
        <w:t>personal protective equipment required for the activities described in the performance evidence</w:t>
      </w:r>
    </w:p>
    <w:p w:rsidR="00000000" w:rsidRPr="004E2EDD" w:rsidP="004E2EDD">
      <w:pPr>
        <w:pStyle w:val="ListBullet"/>
      </w:pPr>
      <w:r w:rsidRPr="004E2EDD">
        <w:t>be conducted in a safe environment</w:t>
      </w:r>
    </w:p>
    <w:p w:rsidR="00000000" w:rsidRPr="004E2EDD" w:rsidP="004E2EDD">
      <w:pPr>
        <w:pStyle w:val="ListBullet"/>
      </w:pPr>
      <w:r w:rsidRPr="004E2EDD">
        <w:t>be assessed in context of the sector</w:t>
      </w:r>
      <w:r>
        <w:t>’</w:t>
      </w:r>
      <w:r w:rsidRPr="004E2EDD">
        <w:t>s work environment</w:t>
      </w:r>
    </w:p>
    <w:p w:rsidR="00000000" w:rsidRPr="004E2EDD" w:rsidP="004E2EDD">
      <w:pPr>
        <w:pStyle w:val="ListBullet"/>
      </w:pPr>
      <w:r w:rsidRPr="004E2EDD">
        <w:t>be assessed in c</w:t>
      </w:r>
      <w:r w:rsidRPr="004E2EDD">
        <w:t>ompliance with relevant legislation and regulations and using policies, procedures, processes and operational manuals directly related to the industry sector for which it is being assessed</w:t>
      </w:r>
    </w:p>
    <w:p w:rsidR="00000000" w:rsidRPr="004E2EDD" w:rsidP="004E2EDD">
      <w:pPr>
        <w:pStyle w:val="ListBullet"/>
      </w:pPr>
      <w:r w:rsidRPr="004E2EDD">
        <w:t>confirm consistent performance can be applied in a range of relevan</w:t>
      </w:r>
      <w:r w:rsidRPr="004E2EDD">
        <w:t>t workplace circumstances.</w:t>
      </w:r>
    </w:p>
    <w:p w:rsidR="00000000" w:rsidRPr="004E2EDD" w:rsidP="000D35F2">
      <w:pPr>
        <w:pStyle w:val="BodyText"/>
      </w:pPr>
      <w:r w:rsidRPr="004E2EDD">
        <w:t>Where personal safety or environmental damage are limiting factors, assessment may occur in a simulated work environment* provided it is realistic and sufficiently rigorous to cover all aspects of this sector’s workplace performa</w:t>
      </w:r>
      <w:r w:rsidRPr="004E2EDD">
        <w:t>nce, including environment, task skills, task management skills, contingency management skills and job role environment skills.</w:t>
      </w:r>
    </w:p>
    <w:p w:rsidR="00000000" w:rsidRPr="004E2EDD" w:rsidP="004E2EDD">
      <w:pPr>
        <w:pStyle w:val="BodyTextBold"/>
      </w:pPr>
      <w:r w:rsidRPr="004E2EDD">
        <w:t>Assessor requirements</w:t>
      </w:r>
    </w:p>
    <w:p w:rsidR="00000000" w:rsidRPr="004E2EDD" w:rsidP="000D35F2">
      <w:pPr>
        <w:pStyle w:val="BodyText"/>
      </w:pPr>
      <w:r w:rsidRPr="004E2EDD">
        <w:t>Assessors must be able to clearly demonstrate current and relevant industry knowledge and experience to sa</w:t>
      </w:r>
      <w:r w:rsidRPr="004E2EDD">
        <w:t>tisfy the mandatory regulatory standards as set out in the Standards for Registered Training Organisations (RTOs) 2015/AQTF mandatory requirements for assessors current at the time of assessment and any relevant licensing and certification requirements. Th</w:t>
      </w:r>
      <w:r w:rsidRPr="004E2EDD">
        <w:t>is includes:</w:t>
      </w:r>
    </w:p>
    <w:p w:rsidR="00000000" w:rsidRPr="004E2EDD" w:rsidP="004E2EDD">
      <w:pPr>
        <w:pStyle w:val="ListBullet"/>
      </w:pPr>
      <w:r w:rsidRPr="004E2EDD">
        <w:t>vocational competencies at least to the level being delivered and assessed</w:t>
      </w:r>
    </w:p>
    <w:p w:rsidR="00000000" w:rsidRPr="004E2EDD" w:rsidP="004E2EDD">
      <w:pPr>
        <w:pStyle w:val="ListBullet"/>
      </w:pPr>
      <w:r w:rsidRPr="004E2EDD">
        <w:t>current industry skills directly relevant to the training and assessment being provided</w:t>
      </w:r>
    </w:p>
    <w:p w:rsidR="00000000" w:rsidRPr="004E2EDD" w:rsidP="004E2EDD">
      <w:pPr>
        <w:pStyle w:val="ListBullet"/>
      </w:pPr>
      <w:r w:rsidRPr="004E2EDD">
        <w:t>current knowledge and skills in vocational training and learning that informs t</w:t>
      </w:r>
      <w:r w:rsidRPr="004E2EDD">
        <w:t>heir training and assessment</w:t>
      </w:r>
    </w:p>
    <w:p w:rsidR="00000000" w:rsidRPr="004E2EDD" w:rsidP="004E2EDD">
      <w:pPr>
        <w:pStyle w:val="ListBullet"/>
      </w:pPr>
      <w:r w:rsidRPr="004E2EDD">
        <w:t>formal relevant qualifications in training and assessment</w:t>
      </w:r>
    </w:p>
    <w:p w:rsidR="00000000" w:rsidRPr="004E2EDD" w:rsidP="004E2EDD">
      <w:pPr>
        <w:pStyle w:val="ListBullet"/>
      </w:pPr>
      <w:r w:rsidRPr="004E2EDD">
        <w:t xml:space="preserve">having knowledge of and/or experience using the latest techniques and processes </w:t>
      </w:r>
    </w:p>
    <w:p w:rsidR="00000000" w:rsidRPr="004E2EDD" w:rsidP="004E2EDD">
      <w:pPr>
        <w:pStyle w:val="ListBullet"/>
      </w:pPr>
      <w:r w:rsidRPr="004E2EDD">
        <w:t>possessing the required level of RII training product knowledge</w:t>
      </w:r>
    </w:p>
    <w:p w:rsidR="00000000" w:rsidRPr="004E2EDD" w:rsidP="004E2EDD">
      <w:pPr>
        <w:pStyle w:val="ListBullet"/>
      </w:pPr>
      <w:r w:rsidRPr="004E2EDD">
        <w:t>having an understanding and knowledge of legislation and regulations relevant to the industry and to employment and workplaces</w:t>
      </w:r>
    </w:p>
    <w:p w:rsidR="00000000" w:rsidRPr="004E2EDD" w:rsidP="004E2EDD">
      <w:pPr>
        <w:pStyle w:val="ListBullet"/>
      </w:pPr>
      <w:r w:rsidRPr="004E2EDD">
        <w:t>demonstrating the performance evidence, and knowledge evidence outlined in this unit of competency, and</w:t>
      </w:r>
    </w:p>
    <w:p w:rsidR="00000000" w:rsidRPr="004E2EDD" w:rsidP="004E2EDD">
      <w:pPr>
        <w:pStyle w:val="ListBullet"/>
      </w:pPr>
      <w:r w:rsidRPr="004E2EDD">
        <w:t>the minimum years of curr</w:t>
      </w:r>
      <w:r w:rsidRPr="004E2EDD">
        <w:t>ent** work experience after competency has been obtained as specified below in an industry sector relevant to the outcomes of the unit.</w:t>
      </w:r>
    </w:p>
    <w:p w:rsidR="00000000" w:rsidRPr="004E2EDD" w:rsidP="000D35F2">
      <w:pPr>
        <w:pStyle w:val="BodyText"/>
      </w:pPr>
      <w:r w:rsidRPr="004E2EDD">
        <w:t>It is also acceptable for the appropriately qualified assessor to work with an industry expert to conduct assessment tog</w:t>
      </w:r>
      <w:r w:rsidRPr="004E2EDD">
        <w:t>ether and for the industry expert to be involved in the assessment judgement. The industry expert must have current industry skills directly relevant to the training and assessment being provided. This means the industry subject matter expert must demonstr</w:t>
      </w:r>
      <w:r w:rsidRPr="004E2EDD">
        <w:t>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E2ED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EDD" w:rsidP="004E2EDD">
            <w:pPr>
              <w:pStyle w:val="BodyText"/>
            </w:pPr>
            <w:r w:rsidRPr="004E2EDD">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EDD" w:rsidP="004E2EDD">
            <w:pPr>
              <w:pStyle w:val="BodyText"/>
            </w:pPr>
            <w:r w:rsidRPr="004E2ED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rPr>
                <w:rStyle w:val="SpecialBold"/>
              </w:rPr>
              <w:t xml:space="preserve">Required assessor or </w:t>
            </w:r>
            <w:r w:rsidRPr="004E2EDD">
              <w:rPr>
                <w:rStyle w:val="SpecialBold"/>
              </w:rPr>
              <w:t>industry subject matter expert experience</w:t>
            </w:r>
          </w:p>
        </w:tc>
      </w:tr>
      <w:tr w:rsidTr="004E2ED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Drilling, Metalliferous Mining, Coal Mining, Extractive (Quarrying)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1 year</w:t>
            </w:r>
          </w:p>
        </w:tc>
      </w:tr>
      <w:tr w:rsidTr="004E2ED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2 years</w:t>
            </w:r>
          </w:p>
        </w:tc>
      </w:tr>
      <w:tr w:rsidTr="004E2ED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Drilling, Coal Mining, Extractive (Quarrying), Metalliferous Mining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3 years</w:t>
            </w:r>
          </w:p>
        </w:tc>
      </w:tr>
      <w:tr w:rsidTr="004E2ED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DD">
            <w:pPr>
              <w:pStyle w:val="BodyText"/>
              <w:rPr>
                <w:lang w:val="en-NZ"/>
              </w:rPr>
            </w:pPr>
            <w:r w:rsidRPr="004E2ED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EDD" w:rsidP="004E2EDD">
            <w:pPr>
              <w:pStyle w:val="BodyText"/>
            </w:pPr>
            <w:r w:rsidRPr="004E2EDD">
              <w:t>Where this unit is being assessed outside of the resources and infrastructure sectors assessor and/or industry subject matter expert experience should be in-line with industry standards for the sector in which it is being assessed an</w:t>
            </w:r>
            <w:r w:rsidRPr="004E2EDD">
              <w:t>d where no industry standard is specified should comply with any relevant regulation.</w:t>
            </w:r>
          </w:p>
        </w:tc>
      </w:tr>
    </w:tbl>
    <w:p w:rsidR="00000000" w:rsidRPr="004E2EDD" w:rsidP="000D35F2">
      <w:pPr>
        <w:pStyle w:val="BodyText"/>
      </w:pPr>
      <w:r w:rsidRPr="004E2EDD">
        <w:t>*Guidance on simulated environments has been stipulated in the RII implementation guide located on VETNet.</w:t>
      </w:r>
    </w:p>
    <w:p w:rsidR="00000000" w:rsidRPr="004E2EDD" w:rsidP="000D35F2">
      <w:pPr>
        <w:pStyle w:val="BodyText"/>
      </w:pPr>
      <w:r w:rsidRPr="004E2EDD">
        <w:t>**Assessors can demonstrate current work experience through employment within industry in a role relevant to the outcomes of the unit; or, for external assessors this can be demonstrated through exposure to industry by conducting a minimum number of site a</w:t>
      </w:r>
      <w:r w:rsidRPr="004E2EDD">
        <w:t>ssessments as determined by the relevant industry sector, across various locations.</w:t>
      </w:r>
    </w:p>
    <w:p w:rsidR="00000000" w:rsidRPr="004E2EDD" w:rsidP="000D35F2">
      <w:pPr>
        <w:pStyle w:val="BodyText"/>
      </w:pPr>
      <w:r w:rsidRPr="004E2EDD">
        <w:t>*** While a Unit of competency does not have an AQF level, where a unit is being delivered outside of a qualification the first numeric character in the unit code should be</w:t>
      </w:r>
      <w:r w:rsidRPr="004E2EDD">
        <w:t xml:space="preserve"> considered as the AQF indicator level for assessment purposes.</w:t>
      </w:r>
    </w:p>
    <w:p w:rsidR="00000000" w:rsidRPr="004E2EDD" w:rsidP="004E2EDD">
      <w:pPr>
        <w:pStyle w:val="Heading1"/>
      </w:pPr>
      <w:bookmarkStart w:id="5" w:name="O_1106995"/>
      <w:bookmarkEnd w:id="5"/>
      <w:r w:rsidRPr="004E2EDD">
        <w:t>Links</w:t>
      </w:r>
    </w:p>
    <w:p w:rsidR="00000000" w:rsidRPr="004E2EDD" w:rsidP="000D35F2">
      <w:pPr>
        <w:pStyle w:val="BodyText"/>
      </w:pPr>
      <w:r w:rsidRPr="004E2ED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A2061">
        <w:rPr>
          <w:rStyle w:val="Hyperlink"/>
        </w:rPr>
        <w:t>https://vetnet.gov.au/Pages/TrainingDocs.aspx?q=88a61002-9a21-4386-aaf8-69c76e675272</w:t>
      </w:r>
      <w:r>
        <w:fldChar w:fldCharType="end"/>
      </w:r>
    </w:p>
    <w:p w:rsidR="00000000" w:rsidRPr="004E2EDD" w:rsidP="004E2EDD"/>
    <w:sectPr w:rsidSect="004E2E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DD" w:rsidRPr="000D35F2" w:rsidP="000D3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F2" w:rsidP="004E2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35F2" w:rsidP="004E2E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D35F2" w:rsidP="004E2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EDD" w:rsidRPr="000D35F2" w:rsidP="000D3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F2" w:rsidRPr="002D2AF8" w:rsidP="004E2EDD">
    <w:pPr>
      <w:pStyle w:val="Header"/>
      <w:framePr w:wrap="around"/>
    </w:pPr>
    <w:r>
      <w:fldChar w:fldCharType="begin"/>
    </w:r>
    <w:r>
      <w:instrText xml:space="preserve"> TITLE   \* MERGEFORMAT </w:instrText>
    </w:r>
    <w:r>
      <w:fldChar w:fldCharType="separate"/>
    </w:r>
    <w:r>
      <w:t>Assessment Requirements for RIINHB324E Conduct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D35F2" w:rsidP="004E2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C4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63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42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EDD"/>
    <w:pPr>
      <w:spacing w:before="360" w:after="60"/>
      <w:outlineLvl w:val="0"/>
    </w:pPr>
    <w:rPr>
      <w:sz w:val="32"/>
    </w:rPr>
  </w:style>
  <w:style w:type="paragraph" w:styleId="Heading2">
    <w:name w:val="heading 2"/>
    <w:basedOn w:val="HeadingBase"/>
    <w:next w:val="BodyText"/>
    <w:link w:val="Heading2Char"/>
    <w:qFormat/>
    <w:rsid w:val="004E2EDD"/>
    <w:pPr>
      <w:keepLines/>
      <w:spacing w:before="240" w:after="120"/>
      <w:outlineLvl w:val="1"/>
    </w:pPr>
    <w:rPr>
      <w:sz w:val="28"/>
      <w:szCs w:val="40"/>
    </w:rPr>
  </w:style>
  <w:style w:type="paragraph" w:styleId="Heading3">
    <w:name w:val="heading 3"/>
    <w:basedOn w:val="HeadingBase"/>
    <w:next w:val="BodyText"/>
    <w:link w:val="Heading3Char"/>
    <w:qFormat/>
    <w:rsid w:val="004E2EDD"/>
    <w:pPr>
      <w:spacing w:before="180" w:after="120"/>
      <w:outlineLvl w:val="2"/>
    </w:pPr>
    <w:rPr>
      <w:spacing w:val="-10"/>
      <w:kern w:val="32"/>
    </w:rPr>
  </w:style>
  <w:style w:type="paragraph" w:styleId="Heading4">
    <w:name w:val="heading 4"/>
    <w:basedOn w:val="HeadingBase"/>
    <w:next w:val="BodyText"/>
    <w:link w:val="Heading4Char"/>
    <w:qFormat/>
    <w:rsid w:val="004E2EDD"/>
    <w:pPr>
      <w:spacing w:before="160" w:after="120"/>
      <w:outlineLvl w:val="3"/>
    </w:pPr>
    <w:rPr>
      <w:sz w:val="22"/>
    </w:rPr>
  </w:style>
  <w:style w:type="paragraph" w:styleId="Heading5">
    <w:name w:val="heading 5"/>
    <w:basedOn w:val="HeadingBase"/>
    <w:next w:val="Normal"/>
    <w:link w:val="Heading5Char"/>
    <w:qFormat/>
    <w:rsid w:val="004E2EDD"/>
    <w:pPr>
      <w:spacing w:before="80"/>
      <w:outlineLvl w:val="4"/>
    </w:pPr>
    <w:rPr>
      <w:color w:val="918585"/>
      <w:sz w:val="20"/>
    </w:rPr>
  </w:style>
  <w:style w:type="paragraph" w:styleId="Heading6">
    <w:name w:val="heading 6"/>
    <w:basedOn w:val="HeadingBase"/>
    <w:next w:val="Normal"/>
    <w:link w:val="Heading6Char"/>
    <w:qFormat/>
    <w:rsid w:val="004E2EDD"/>
    <w:pPr>
      <w:spacing w:before="60"/>
      <w:outlineLvl w:val="5"/>
    </w:pPr>
    <w:rPr>
      <w:color w:val="918585"/>
      <w:sz w:val="20"/>
    </w:rPr>
  </w:style>
  <w:style w:type="paragraph" w:styleId="Heading7">
    <w:name w:val="heading 7"/>
    <w:basedOn w:val="Normal"/>
    <w:next w:val="Normal"/>
    <w:link w:val="Heading7Char"/>
    <w:qFormat/>
    <w:rsid w:val="004E2EDD"/>
    <w:pPr>
      <w:ind w:left="720"/>
      <w:outlineLvl w:val="6"/>
    </w:pPr>
    <w:rPr>
      <w:i/>
    </w:rPr>
  </w:style>
  <w:style w:type="paragraph" w:styleId="Heading8">
    <w:name w:val="heading 8"/>
    <w:basedOn w:val="Normal"/>
    <w:next w:val="Normal"/>
    <w:link w:val="Heading8Char"/>
    <w:qFormat/>
    <w:rsid w:val="004E2EDD"/>
    <w:pPr>
      <w:ind w:left="720"/>
      <w:outlineLvl w:val="7"/>
    </w:pPr>
    <w:rPr>
      <w:i/>
    </w:rPr>
  </w:style>
  <w:style w:type="paragraph" w:styleId="Heading9">
    <w:name w:val="heading 9"/>
    <w:basedOn w:val="Normal"/>
    <w:next w:val="Normal"/>
    <w:link w:val="Heading9Char"/>
    <w:qFormat/>
    <w:rsid w:val="004E2EDD"/>
    <w:pPr>
      <w:ind w:left="720"/>
      <w:outlineLvl w:val="8"/>
    </w:pPr>
    <w:rPr>
      <w:i/>
    </w:rPr>
  </w:style>
  <w:style w:type="character" w:default="1" w:styleId="DefaultParagraphFont">
    <w:name w:val="Default Paragraph Font"/>
    <w:uiPriority w:val="1"/>
    <w:unhideWhenUsed/>
    <w:rsid w:val="004E2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EDD"/>
  </w:style>
  <w:style w:type="character" w:customStyle="1" w:styleId="Heading1Char">
    <w:name w:val="Heading 1 Char"/>
    <w:basedOn w:val="DefaultParagraphFont"/>
    <w:link w:val="Heading1"/>
    <w:rsid w:val="004E2EDD"/>
    <w:rPr>
      <w:rFonts w:ascii="Times New Roman" w:eastAsia="Times New Roman" w:hAnsi="Times New Roman" w:cs="Times New Roman"/>
      <w:b/>
      <w:sz w:val="32"/>
      <w:szCs w:val="20"/>
      <w:lang w:eastAsia="en-US"/>
    </w:rPr>
  </w:style>
  <w:style w:type="paragraph" w:styleId="BodyText">
    <w:name w:val="Body Text"/>
    <w:basedOn w:val="Normal"/>
    <w:link w:val="BodyTextChar"/>
    <w:rsid w:val="004E2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EDD"/>
    <w:rPr>
      <w:rFonts w:ascii="Times New Roman" w:eastAsia="Times New Roman" w:hAnsi="Times New Roman" w:cs="Times New Roman"/>
      <w:sz w:val="24"/>
      <w:lang w:eastAsia="en-US"/>
    </w:rPr>
  </w:style>
  <w:style w:type="paragraph" w:styleId="List">
    <w:name w:val="List"/>
    <w:basedOn w:val="BodyText"/>
    <w:next w:val="BodyText"/>
    <w:rsid w:val="004E2EDD"/>
    <w:pPr>
      <w:tabs>
        <w:tab w:val="left" w:pos="340"/>
      </w:tabs>
      <w:spacing w:before="60" w:after="60"/>
      <w:ind w:left="340" w:hanging="340"/>
    </w:pPr>
  </w:style>
  <w:style w:type="paragraph" w:styleId="ListBullet">
    <w:name w:val="List Bullet"/>
    <w:basedOn w:val="List"/>
    <w:rsid w:val="004E2EDD"/>
    <w:pPr>
      <w:numPr>
        <w:numId w:val="13"/>
      </w:numPr>
      <w:tabs>
        <w:tab w:val="clear" w:pos="340"/>
      </w:tabs>
      <w:spacing w:before="40" w:after="40"/>
    </w:pPr>
  </w:style>
  <w:style w:type="character" w:customStyle="1" w:styleId="SpecialBold">
    <w:name w:val="Special Bold"/>
    <w:basedOn w:val="DefaultParagraphFont"/>
    <w:rsid w:val="004E2EDD"/>
    <w:rPr>
      <w:b/>
      <w:spacing w:val="0"/>
    </w:rPr>
  </w:style>
  <w:style w:type="paragraph" w:styleId="ListBullet2">
    <w:name w:val="List Bullet 2"/>
    <w:basedOn w:val="List2"/>
    <w:rsid w:val="004E2EDD"/>
    <w:pPr>
      <w:numPr>
        <w:numId w:val="14"/>
      </w:numPr>
      <w:tabs>
        <w:tab w:val="clear" w:pos="680"/>
      </w:tabs>
    </w:pPr>
  </w:style>
  <w:style w:type="paragraph" w:customStyle="1" w:styleId="SuperHeading">
    <w:name w:val="SuperHeading"/>
    <w:basedOn w:val="Normal"/>
    <w:rsid w:val="004E2EDD"/>
    <w:pPr>
      <w:spacing w:before="240" w:after="120"/>
      <w:outlineLvl w:val="0"/>
    </w:pPr>
    <w:rPr>
      <w:rFonts w:ascii="Times New Roman" w:hAnsi="Times New Roman"/>
      <w:b/>
      <w:sz w:val="32"/>
    </w:rPr>
  </w:style>
  <w:style w:type="paragraph" w:customStyle="1" w:styleId="AllowPageBreak">
    <w:name w:val="AllowPageBreak"/>
    <w:rsid w:val="004E2E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2EDD"/>
    <w:pPr>
      <w:numPr>
        <w:numId w:val="3"/>
      </w:numPr>
      <w:tabs>
        <w:tab w:val="clear" w:pos="1021"/>
      </w:tabs>
      <w:ind w:left="1037" w:hanging="357"/>
    </w:pPr>
  </w:style>
  <w:style w:type="paragraph" w:customStyle="1" w:styleId="BodyTextBold">
    <w:name w:val="Body Text Bold"/>
    <w:basedOn w:val="BodyText"/>
    <w:qFormat/>
    <w:rsid w:val="004E2EDD"/>
    <w:rPr>
      <w:b/>
    </w:rPr>
  </w:style>
  <w:style w:type="character" w:customStyle="1" w:styleId="Heading2Char">
    <w:name w:val="Heading 2 Char"/>
    <w:basedOn w:val="DefaultParagraphFont"/>
    <w:link w:val="Heading2"/>
    <w:rsid w:val="004E2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EDD"/>
    <w:rPr>
      <w:rFonts w:ascii="Courier New" w:eastAsia="Times New Roman" w:hAnsi="Courier New" w:cs="Times New Roman"/>
      <w:i/>
      <w:szCs w:val="20"/>
      <w:lang w:eastAsia="en-US"/>
    </w:rPr>
  </w:style>
  <w:style w:type="paragraph" w:customStyle="1" w:styleId="HeadingBase">
    <w:name w:val="Heading Base"/>
    <w:rsid w:val="004E2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EDD"/>
    <w:pPr>
      <w:tabs>
        <w:tab w:val="right" w:leader="dot" w:pos="9072"/>
      </w:tabs>
      <w:ind w:left="567"/>
    </w:pPr>
    <w:rPr>
      <w:szCs w:val="22"/>
    </w:rPr>
  </w:style>
  <w:style w:type="paragraph" w:customStyle="1" w:styleId="TOCBase">
    <w:name w:val="TOC Base"/>
    <w:rsid w:val="004E2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EDD"/>
    <w:pPr>
      <w:tabs>
        <w:tab w:val="right" w:leader="dot" w:pos="9072"/>
      </w:tabs>
      <w:spacing w:before="40" w:after="40"/>
      <w:ind w:left="284"/>
    </w:pPr>
    <w:rPr>
      <w:rFonts w:ascii="Times New Roman" w:hAnsi="Times New Roman"/>
    </w:rPr>
  </w:style>
  <w:style w:type="paragraph" w:styleId="TOC1">
    <w:name w:val="toc 1"/>
    <w:basedOn w:val="TOCBase"/>
    <w:next w:val="Normal"/>
    <w:rsid w:val="004E2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EDD"/>
    <w:rPr>
      <w:rFonts w:ascii="Times New Roman" w:eastAsia="Times New Roman" w:hAnsi="Times New Roman" w:cs="Times New Roman"/>
      <w:sz w:val="16"/>
      <w:lang w:eastAsia="en-US"/>
    </w:rPr>
  </w:style>
  <w:style w:type="paragraph" w:styleId="Title">
    <w:name w:val="Title"/>
    <w:basedOn w:val="HeadingBase"/>
    <w:link w:val="TitleChar"/>
    <w:qFormat/>
    <w:rsid w:val="004E2EDD"/>
    <w:pPr>
      <w:spacing w:before="5040"/>
      <w:jc w:val="center"/>
    </w:pPr>
    <w:rPr>
      <w:sz w:val="48"/>
      <w:szCs w:val="72"/>
      <w:lang w:val="en-US"/>
    </w:rPr>
  </w:style>
  <w:style w:type="character" w:customStyle="1" w:styleId="TitleChar">
    <w:name w:val="Title Char"/>
    <w:basedOn w:val="DefaultParagraphFont"/>
    <w:link w:val="Title"/>
    <w:rsid w:val="004E2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EDD"/>
    <w:pPr>
      <w:tabs>
        <w:tab w:val="left" w:pos="3600"/>
        <w:tab w:val="left" w:pos="3958"/>
      </w:tabs>
    </w:pPr>
  </w:style>
  <w:style w:type="paragraph" w:customStyle="1" w:styleId="Note">
    <w:name w:val="Note"/>
    <w:basedOn w:val="BodyText"/>
    <w:rsid w:val="004E2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EDD"/>
    <w:pPr>
      <w:framePr w:wrap="auto" w:hAnchor="text" w:y="6049"/>
    </w:pPr>
    <w:rPr>
      <w:color w:val="000000"/>
      <w:sz w:val="40"/>
    </w:rPr>
  </w:style>
  <w:style w:type="paragraph" w:customStyle="1" w:styleId="TOCTitle">
    <w:name w:val="TOCTitle"/>
    <w:basedOn w:val="Heading1"/>
    <w:rsid w:val="004E2EDD"/>
    <w:pPr>
      <w:spacing w:after="240"/>
      <w:jc w:val="center"/>
      <w:outlineLvl w:val="9"/>
    </w:pPr>
    <w:rPr>
      <w:caps/>
    </w:rPr>
  </w:style>
  <w:style w:type="paragraph" w:customStyle="1" w:styleId="Version">
    <w:name w:val="Version"/>
    <w:rsid w:val="004E2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EDD"/>
    <w:pPr>
      <w:keepNext w:val="0"/>
      <w:tabs>
        <w:tab w:val="right" w:pos="4176"/>
      </w:tabs>
      <w:ind w:left="198" w:hanging="198"/>
    </w:pPr>
    <w:rPr>
      <w:rFonts w:ascii="Garamond" w:hAnsi="Garamond"/>
    </w:rPr>
  </w:style>
  <w:style w:type="paragraph" w:styleId="IndexHeading">
    <w:name w:val="index heading"/>
    <w:basedOn w:val="Normal"/>
    <w:next w:val="Index1"/>
    <w:semiHidden/>
    <w:rsid w:val="004E2EDD"/>
    <w:pPr>
      <w:spacing w:before="120" w:after="120"/>
    </w:pPr>
    <w:rPr>
      <w:rFonts w:ascii="Arial" w:hAnsi="Arial"/>
      <w:b/>
      <w:color w:val="918585"/>
      <w:sz w:val="24"/>
    </w:rPr>
  </w:style>
  <w:style w:type="paragraph" w:styleId="Header">
    <w:name w:val="header"/>
    <w:basedOn w:val="Normal"/>
    <w:link w:val="HeaderChar"/>
    <w:rsid w:val="004E2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EDD"/>
    <w:rPr>
      <w:rFonts w:ascii="Times New Roman" w:eastAsia="Times New Roman" w:hAnsi="Times New Roman" w:cs="Times New Roman"/>
      <w:sz w:val="16"/>
      <w:szCs w:val="20"/>
      <w:lang w:val="en-GB" w:eastAsia="en-US"/>
    </w:rPr>
  </w:style>
  <w:style w:type="paragraph" w:customStyle="1" w:styleId="Chapter">
    <w:name w:val="Chapter"/>
    <w:basedOn w:val="Normal"/>
    <w:rsid w:val="004E2EDD"/>
    <w:pPr>
      <w:spacing w:before="240"/>
    </w:pPr>
    <w:rPr>
      <w:rFonts w:ascii="Times New Roman" w:hAnsi="Times New Roman"/>
      <w:smallCaps/>
      <w:spacing w:val="80"/>
      <w:sz w:val="28"/>
    </w:rPr>
  </w:style>
  <w:style w:type="paragraph" w:customStyle="1" w:styleId="InChapter">
    <w:name w:val="InChapter"/>
    <w:basedOn w:val="Heading3"/>
    <w:rsid w:val="004E2EDD"/>
    <w:pPr>
      <w:spacing w:after="240"/>
      <w:outlineLvl w:val="9"/>
    </w:pPr>
    <w:rPr>
      <w:noProof/>
    </w:rPr>
  </w:style>
  <w:style w:type="paragraph" w:styleId="Index2">
    <w:name w:val="index 2"/>
    <w:basedOn w:val="Normal"/>
    <w:next w:val="Normal"/>
    <w:semiHidden/>
    <w:rsid w:val="004E2EDD"/>
    <w:pPr>
      <w:tabs>
        <w:tab w:val="right" w:pos="4176"/>
      </w:tabs>
      <w:ind w:left="568" w:hanging="284"/>
    </w:pPr>
    <w:rPr>
      <w:rFonts w:ascii="Garamond" w:hAnsi="Garamond"/>
    </w:rPr>
  </w:style>
  <w:style w:type="paragraph" w:customStyle="1" w:styleId="Byline">
    <w:name w:val="Byline"/>
    <w:rsid w:val="004E2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EDD"/>
    <w:pPr>
      <w:tabs>
        <w:tab w:val="clear" w:pos="3600"/>
        <w:tab w:val="clear" w:pos="3958"/>
      </w:tabs>
      <w:jc w:val="right"/>
    </w:pPr>
  </w:style>
  <w:style w:type="character" w:styleId="Emphasis">
    <w:name w:val="Emphasis"/>
    <w:basedOn w:val="DefaultParagraphFont"/>
    <w:qFormat/>
    <w:rsid w:val="004E2EDD"/>
    <w:rPr>
      <w:i/>
    </w:rPr>
  </w:style>
  <w:style w:type="paragraph" w:styleId="Caption">
    <w:name w:val="caption"/>
    <w:basedOn w:val="BodyText"/>
    <w:next w:val="Normal"/>
    <w:qFormat/>
    <w:rsid w:val="004E2EDD"/>
    <w:pPr>
      <w:framePr w:w="2268" w:hSpace="181" w:vSpace="181" w:wrap="around" w:vAnchor="text" w:hAnchor="page" w:x="1135" w:y="285" w:anchorLock="1"/>
    </w:pPr>
    <w:rPr>
      <w:i/>
    </w:rPr>
  </w:style>
  <w:style w:type="paragraph" w:customStyle="1" w:styleId="MiniTOCTitle">
    <w:name w:val="MiniTOCTitle"/>
    <w:basedOn w:val="Heading4"/>
    <w:rsid w:val="004E2EDD"/>
    <w:pPr>
      <w:spacing w:before="240"/>
      <w:outlineLvl w:val="9"/>
    </w:pPr>
    <w:rPr>
      <w:noProof/>
      <w:sz w:val="24"/>
    </w:rPr>
  </w:style>
  <w:style w:type="paragraph" w:customStyle="1" w:styleId="MiniTOCItem">
    <w:name w:val="MiniTOCItem"/>
    <w:basedOn w:val="ListBullet"/>
    <w:rsid w:val="004E2EDD"/>
    <w:pPr>
      <w:numPr>
        <w:numId w:val="0"/>
      </w:numPr>
      <w:tabs>
        <w:tab w:val="right" w:leader="dot" w:pos="6521"/>
      </w:tabs>
      <w:spacing w:before="0" w:after="0"/>
    </w:pPr>
  </w:style>
  <w:style w:type="paragraph" w:customStyle="1" w:styleId="TOFTitle">
    <w:name w:val="TOFTitle"/>
    <w:basedOn w:val="TOCTitle"/>
    <w:rsid w:val="004E2EDD"/>
  </w:style>
  <w:style w:type="paragraph" w:styleId="TableofFigures">
    <w:name w:val="table of figures"/>
    <w:basedOn w:val="Normal"/>
    <w:next w:val="Normal"/>
    <w:semiHidden/>
    <w:rsid w:val="004E2EDD"/>
    <w:pPr>
      <w:tabs>
        <w:tab w:val="right" w:leader="dot" w:pos="9072"/>
      </w:tabs>
      <w:ind w:left="970" w:hanging="403"/>
    </w:pPr>
    <w:rPr>
      <w:rFonts w:ascii="Times New Roman" w:hAnsi="Times New Roman"/>
      <w:b/>
    </w:rPr>
  </w:style>
  <w:style w:type="paragraph" w:styleId="ListNumber">
    <w:name w:val="List Number"/>
    <w:basedOn w:val="List"/>
    <w:rsid w:val="004E2EDD"/>
    <w:pPr>
      <w:numPr>
        <w:numId w:val="16"/>
      </w:numPr>
      <w:tabs>
        <w:tab w:val="clear" w:pos="340"/>
      </w:tabs>
    </w:pPr>
  </w:style>
  <w:style w:type="character" w:customStyle="1" w:styleId="WingdingSymbols">
    <w:name w:val="Wingding Symbols"/>
    <w:rsid w:val="004E2EDD"/>
    <w:rPr>
      <w:rFonts w:ascii="Wingdings" w:hAnsi="Wingdings"/>
    </w:rPr>
  </w:style>
  <w:style w:type="paragraph" w:customStyle="1" w:styleId="TableHeading">
    <w:name w:val="Table Heading"/>
    <w:basedOn w:val="HeadingBase"/>
    <w:rsid w:val="004E2EDD"/>
    <w:pPr>
      <w:keepLines/>
      <w:pBdr>
        <w:bottom w:val="single" w:sz="6" w:space="1" w:color="918585"/>
      </w:pBdr>
      <w:spacing w:before="240"/>
    </w:pPr>
  </w:style>
  <w:style w:type="character" w:customStyle="1" w:styleId="HotSpot">
    <w:name w:val="HotSpot"/>
    <w:rsid w:val="004E2EDD"/>
    <w:rPr>
      <w:color w:val="0033CC"/>
      <w:u w:val="none"/>
    </w:rPr>
  </w:style>
  <w:style w:type="paragraph" w:customStyle="1" w:styleId="BodyTextRight">
    <w:name w:val="Body Text Right"/>
    <w:basedOn w:val="BodyText"/>
    <w:rsid w:val="004E2EDD"/>
    <w:pPr>
      <w:spacing w:before="0" w:after="0"/>
      <w:jc w:val="right"/>
    </w:pPr>
  </w:style>
  <w:style w:type="paragraph" w:styleId="Index3">
    <w:name w:val="index 3"/>
    <w:basedOn w:val="ListNumber2"/>
    <w:next w:val="Normal"/>
    <w:semiHidden/>
    <w:rsid w:val="004E2EDD"/>
    <w:pPr>
      <w:numPr>
        <w:numId w:val="0"/>
      </w:numPr>
      <w:tabs>
        <w:tab w:val="right" w:leader="dot" w:pos="4176"/>
      </w:tabs>
    </w:pPr>
  </w:style>
  <w:style w:type="paragraph" w:styleId="ListNumber2">
    <w:name w:val="List Number 2"/>
    <w:basedOn w:val="List2"/>
    <w:rsid w:val="004E2EDD"/>
    <w:pPr>
      <w:numPr>
        <w:numId w:val="11"/>
      </w:numPr>
      <w:tabs>
        <w:tab w:val="clear" w:pos="1060"/>
      </w:tabs>
    </w:pPr>
  </w:style>
  <w:style w:type="paragraph" w:customStyle="1" w:styleId="MarginNote">
    <w:name w:val="Margin Note"/>
    <w:basedOn w:val="BodyText"/>
    <w:rsid w:val="004E2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EDD"/>
    <w:rPr>
      <w:sz w:val="32"/>
    </w:rPr>
  </w:style>
  <w:style w:type="paragraph" w:customStyle="1" w:styleId="HeadingProcedure">
    <w:name w:val="Heading Procedure"/>
    <w:basedOn w:val="HeadingBase"/>
    <w:next w:val="Normal"/>
    <w:rsid w:val="004E2EDD"/>
    <w:pPr>
      <w:tabs>
        <w:tab w:val="left" w:pos="0"/>
      </w:tabs>
      <w:spacing w:before="120" w:after="60"/>
    </w:pPr>
    <w:rPr>
      <w:i/>
      <w:color w:val="918585"/>
      <w:sz w:val="22"/>
    </w:rPr>
  </w:style>
  <w:style w:type="paragraph" w:customStyle="1" w:styleId="TableBodyText">
    <w:name w:val="Table Body Text"/>
    <w:basedOn w:val="BodyText"/>
    <w:rsid w:val="004E2EDD"/>
    <w:pPr>
      <w:spacing w:before="60" w:after="60"/>
    </w:pPr>
  </w:style>
  <w:style w:type="paragraph" w:styleId="ListContinue">
    <w:name w:val="List Continue"/>
    <w:basedOn w:val="List"/>
    <w:rsid w:val="004E2EDD"/>
    <w:pPr>
      <w:ind w:firstLine="0"/>
    </w:pPr>
  </w:style>
  <w:style w:type="paragraph" w:customStyle="1" w:styleId="ListNote">
    <w:name w:val="List Note"/>
    <w:basedOn w:val="List"/>
    <w:rsid w:val="004E2EDD"/>
    <w:pPr>
      <w:pBdr>
        <w:top w:val="single" w:sz="6" w:space="2" w:color="918585"/>
        <w:bottom w:val="single" w:sz="6" w:space="2" w:color="918585"/>
      </w:pBdr>
      <w:tabs>
        <w:tab w:val="left" w:pos="1021"/>
      </w:tabs>
      <w:ind w:firstLine="0"/>
    </w:pPr>
  </w:style>
  <w:style w:type="paragraph" w:customStyle="1" w:styleId="Warning">
    <w:name w:val="Warning"/>
    <w:basedOn w:val="BodyText"/>
    <w:rsid w:val="004E2EDD"/>
    <w:pPr>
      <w:shd w:val="clear" w:color="auto" w:fill="D9D9D9"/>
      <w:tabs>
        <w:tab w:val="left" w:pos="992"/>
      </w:tabs>
      <w:ind w:left="119" w:right="119"/>
    </w:pPr>
    <w:rPr>
      <w:sz w:val="20"/>
    </w:rPr>
  </w:style>
  <w:style w:type="paragraph" w:customStyle="1" w:styleId="MarginIcons">
    <w:name w:val="Margin Icons"/>
    <w:basedOn w:val="BodyText"/>
    <w:rsid w:val="004E2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EDD"/>
    <w:rPr>
      <w:rFonts w:ascii="Courier New" w:hAnsi="Courier New"/>
    </w:rPr>
  </w:style>
  <w:style w:type="paragraph" w:customStyle="1" w:styleId="NoteBullet">
    <w:name w:val="Note Bullet"/>
    <w:basedOn w:val="Note"/>
    <w:rsid w:val="004E2EDD"/>
    <w:pPr>
      <w:tabs>
        <w:tab w:val="clear" w:pos="680"/>
      </w:tabs>
      <w:spacing w:before="60" w:after="60"/>
    </w:pPr>
  </w:style>
  <w:style w:type="paragraph" w:customStyle="1" w:styleId="SubHeading2">
    <w:name w:val="SubHeading2"/>
    <w:basedOn w:val="HeadingBase"/>
    <w:rsid w:val="004E2EDD"/>
    <w:pPr>
      <w:spacing w:before="240" w:after="60"/>
    </w:pPr>
    <w:rPr>
      <w:sz w:val="20"/>
    </w:rPr>
  </w:style>
  <w:style w:type="paragraph" w:customStyle="1" w:styleId="SubHeading1">
    <w:name w:val="SubHeading1"/>
    <w:basedOn w:val="HeadingBase"/>
    <w:rsid w:val="004E2EDD"/>
    <w:pPr>
      <w:spacing w:before="240" w:after="60"/>
    </w:pPr>
    <w:rPr>
      <w:color w:val="918585"/>
      <w:sz w:val="22"/>
    </w:rPr>
  </w:style>
  <w:style w:type="paragraph" w:customStyle="1" w:styleId="SideHeading">
    <w:name w:val="Side Heading"/>
    <w:basedOn w:val="HeadingBase"/>
    <w:rsid w:val="004E2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EDD"/>
    <w:pPr>
      <w:numPr>
        <w:numId w:val="12"/>
      </w:numPr>
    </w:pPr>
  </w:style>
  <w:style w:type="paragraph" w:styleId="PlainText">
    <w:name w:val="Plain Text"/>
    <w:basedOn w:val="Normal"/>
    <w:link w:val="PlainTextChar"/>
    <w:rsid w:val="004E2EDD"/>
    <w:rPr>
      <w:sz w:val="20"/>
    </w:rPr>
  </w:style>
  <w:style w:type="character" w:customStyle="1" w:styleId="PlainTextChar">
    <w:name w:val="Plain Text Char"/>
    <w:basedOn w:val="DefaultParagraphFont"/>
    <w:link w:val="PlainText"/>
    <w:rsid w:val="004E2EDD"/>
    <w:rPr>
      <w:rFonts w:ascii="Courier New" w:eastAsia="Times New Roman" w:hAnsi="Courier New" w:cs="Times New Roman"/>
      <w:sz w:val="20"/>
      <w:szCs w:val="20"/>
      <w:lang w:eastAsia="en-US"/>
    </w:rPr>
  </w:style>
  <w:style w:type="character" w:customStyle="1" w:styleId="MenuOption">
    <w:name w:val="Menu Option"/>
    <w:basedOn w:val="DefaultParagraphFont"/>
    <w:rsid w:val="004E2EDD"/>
    <w:rPr>
      <w:b/>
      <w:smallCaps/>
    </w:rPr>
  </w:style>
  <w:style w:type="paragraph" w:customStyle="1" w:styleId="TableListNumber">
    <w:name w:val="Table List Number"/>
    <w:basedOn w:val="ListNumber"/>
    <w:rsid w:val="004E2EDD"/>
    <w:pPr>
      <w:numPr>
        <w:numId w:val="0"/>
      </w:numPr>
    </w:pPr>
  </w:style>
  <w:style w:type="paragraph" w:styleId="TOC4">
    <w:name w:val="toc 4"/>
    <w:basedOn w:val="TOCBase"/>
    <w:next w:val="Normal"/>
    <w:semiHidden/>
    <w:rsid w:val="004E2EDD"/>
    <w:pPr>
      <w:tabs>
        <w:tab w:val="right" w:leader="dot" w:pos="9071"/>
      </w:tabs>
      <w:ind w:left="1701"/>
    </w:pPr>
  </w:style>
  <w:style w:type="paragraph" w:customStyle="1" w:styleId="ListAlpha">
    <w:name w:val="List Alpha"/>
    <w:basedOn w:val="List"/>
    <w:rsid w:val="004E2EDD"/>
    <w:pPr>
      <w:numPr>
        <w:numId w:val="10"/>
      </w:numPr>
    </w:pPr>
  </w:style>
  <w:style w:type="paragraph" w:customStyle="1" w:styleId="ListAlpha2">
    <w:name w:val="List Alpha 2"/>
    <w:basedOn w:val="List2"/>
    <w:rsid w:val="004E2EDD"/>
    <w:pPr>
      <w:numPr>
        <w:numId w:val="9"/>
      </w:numPr>
    </w:pPr>
  </w:style>
  <w:style w:type="paragraph" w:styleId="List2">
    <w:name w:val="List 2"/>
    <w:basedOn w:val="BodyText"/>
    <w:rsid w:val="004E2EDD"/>
    <w:pPr>
      <w:tabs>
        <w:tab w:val="left" w:pos="680"/>
      </w:tabs>
      <w:spacing w:before="60" w:after="60"/>
      <w:ind w:left="680" w:hanging="340"/>
    </w:pPr>
  </w:style>
  <w:style w:type="paragraph" w:styleId="List3">
    <w:name w:val="List 3"/>
    <w:basedOn w:val="BodyText"/>
    <w:rsid w:val="004E2EDD"/>
    <w:pPr>
      <w:tabs>
        <w:tab w:val="left" w:pos="1021"/>
      </w:tabs>
      <w:spacing w:before="60" w:after="60"/>
      <w:ind w:left="1020" w:hanging="340"/>
    </w:pPr>
  </w:style>
  <w:style w:type="paragraph" w:styleId="List4">
    <w:name w:val="List 4"/>
    <w:basedOn w:val="BodyText"/>
    <w:rsid w:val="004E2EDD"/>
    <w:pPr>
      <w:tabs>
        <w:tab w:val="left" w:pos="1361"/>
      </w:tabs>
      <w:spacing w:before="60" w:after="60"/>
      <w:ind w:left="1361" w:hanging="340"/>
    </w:pPr>
  </w:style>
  <w:style w:type="paragraph" w:styleId="List5">
    <w:name w:val="List 5"/>
    <w:basedOn w:val="BodyText"/>
    <w:rsid w:val="004E2EDD"/>
    <w:pPr>
      <w:tabs>
        <w:tab w:val="left" w:pos="1701"/>
      </w:tabs>
      <w:spacing w:before="60" w:after="60"/>
      <w:ind w:left="1701" w:hanging="340"/>
    </w:pPr>
  </w:style>
  <w:style w:type="paragraph" w:styleId="ListBullet4">
    <w:name w:val="List Bullet 4"/>
    <w:basedOn w:val="List4"/>
    <w:rsid w:val="004E2EDD"/>
    <w:pPr>
      <w:numPr>
        <w:numId w:val="4"/>
      </w:numPr>
      <w:tabs>
        <w:tab w:val="clear" w:pos="1361"/>
      </w:tabs>
    </w:pPr>
  </w:style>
  <w:style w:type="paragraph" w:styleId="ListBullet5">
    <w:name w:val="List Bullet 5"/>
    <w:basedOn w:val="List5"/>
    <w:rsid w:val="004E2EDD"/>
    <w:pPr>
      <w:numPr>
        <w:numId w:val="5"/>
      </w:numPr>
    </w:pPr>
  </w:style>
  <w:style w:type="paragraph" w:styleId="ListContinue2">
    <w:name w:val="List Continue 2"/>
    <w:basedOn w:val="List2"/>
    <w:rsid w:val="004E2EDD"/>
    <w:pPr>
      <w:ind w:firstLine="0"/>
    </w:pPr>
  </w:style>
  <w:style w:type="paragraph" w:styleId="ListContinue3">
    <w:name w:val="List Continue 3"/>
    <w:basedOn w:val="List3"/>
    <w:rsid w:val="004E2EDD"/>
    <w:pPr>
      <w:ind w:left="1021" w:firstLine="0"/>
    </w:pPr>
  </w:style>
  <w:style w:type="paragraph" w:styleId="ListContinue4">
    <w:name w:val="List Continue 4"/>
    <w:basedOn w:val="List4"/>
    <w:rsid w:val="004E2EDD"/>
    <w:pPr>
      <w:ind w:firstLine="0"/>
    </w:pPr>
  </w:style>
  <w:style w:type="paragraph" w:styleId="ListContinue5">
    <w:name w:val="List Continue 5"/>
    <w:basedOn w:val="List5"/>
    <w:rsid w:val="004E2EDD"/>
    <w:pPr>
      <w:ind w:firstLine="0"/>
    </w:pPr>
  </w:style>
  <w:style w:type="paragraph" w:styleId="ListNumber3">
    <w:name w:val="List Number 3"/>
    <w:basedOn w:val="List3"/>
    <w:rsid w:val="004E2EDD"/>
    <w:pPr>
      <w:numPr>
        <w:numId w:val="6"/>
      </w:numPr>
    </w:pPr>
  </w:style>
  <w:style w:type="paragraph" w:styleId="ListNumber4">
    <w:name w:val="List Number 4"/>
    <w:basedOn w:val="List4"/>
    <w:rsid w:val="004E2EDD"/>
    <w:pPr>
      <w:numPr>
        <w:numId w:val="7"/>
      </w:numPr>
    </w:pPr>
  </w:style>
  <w:style w:type="paragraph" w:styleId="ListNumber5">
    <w:name w:val="List Number 5"/>
    <w:basedOn w:val="List5"/>
    <w:rsid w:val="004E2EDD"/>
    <w:pPr>
      <w:numPr>
        <w:numId w:val="8"/>
      </w:numPr>
    </w:pPr>
  </w:style>
  <w:style w:type="paragraph" w:styleId="BlockText">
    <w:name w:val="Block Text"/>
    <w:basedOn w:val="Normal"/>
    <w:rsid w:val="004E2EDD"/>
    <w:pPr>
      <w:spacing w:after="120"/>
      <w:ind w:left="1440" w:right="1440"/>
    </w:pPr>
  </w:style>
  <w:style w:type="character" w:customStyle="1" w:styleId="Subscript">
    <w:name w:val="Subscript"/>
    <w:basedOn w:val="DefaultParagraphFont"/>
    <w:rsid w:val="004E2EDD"/>
    <w:rPr>
      <w:sz w:val="16"/>
      <w:vertAlign w:val="subscript"/>
    </w:rPr>
  </w:style>
  <w:style w:type="character" w:customStyle="1" w:styleId="Superscript">
    <w:name w:val="Superscript"/>
    <w:basedOn w:val="DefaultParagraphFont"/>
    <w:rsid w:val="004E2EDD"/>
    <w:rPr>
      <w:sz w:val="16"/>
      <w:vertAlign w:val="superscript"/>
    </w:rPr>
  </w:style>
  <w:style w:type="character" w:customStyle="1" w:styleId="Symbols">
    <w:name w:val="Symbols"/>
    <w:basedOn w:val="DefaultParagraphFont"/>
    <w:rsid w:val="004E2EDD"/>
    <w:rPr>
      <w:rFonts w:ascii="Symbol" w:hAnsi="Symbol"/>
    </w:rPr>
  </w:style>
  <w:style w:type="character" w:customStyle="1" w:styleId="MenuOptions">
    <w:name w:val="Menu Options"/>
    <w:basedOn w:val="DefaultParagraphFont"/>
    <w:rsid w:val="004E2EDD"/>
    <w:rPr>
      <w:rFonts w:ascii="Arial Narrow" w:hAnsi="Arial Narrow"/>
      <w:smallCaps/>
    </w:rPr>
  </w:style>
  <w:style w:type="character" w:customStyle="1" w:styleId="Buttons">
    <w:name w:val="Buttons"/>
    <w:basedOn w:val="DefaultParagraphFont"/>
    <w:rsid w:val="004E2EDD"/>
    <w:rPr>
      <w:b/>
    </w:rPr>
  </w:style>
  <w:style w:type="character" w:customStyle="1" w:styleId="Underlined">
    <w:name w:val="Underlined"/>
    <w:basedOn w:val="DefaultParagraphFont"/>
    <w:rsid w:val="004E2EDD"/>
    <w:rPr>
      <w:u w:val="single"/>
    </w:rPr>
  </w:style>
  <w:style w:type="paragraph" w:customStyle="1" w:styleId="TableBodyTextRight">
    <w:name w:val="Table Body Text Right"/>
    <w:basedOn w:val="TableBodyText"/>
    <w:rsid w:val="004E2EDD"/>
    <w:pPr>
      <w:widowControl w:val="0"/>
      <w:autoSpaceDE w:val="0"/>
      <w:autoSpaceDN w:val="0"/>
      <w:adjustRightInd w:val="0"/>
      <w:jc w:val="right"/>
    </w:pPr>
    <w:rPr>
      <w:rFonts w:cs="Arial"/>
      <w:szCs w:val="18"/>
    </w:rPr>
  </w:style>
  <w:style w:type="paragraph" w:customStyle="1" w:styleId="CopyrightText">
    <w:name w:val="Copyright Text"/>
    <w:basedOn w:val="BodyText"/>
    <w:rsid w:val="004E2EDD"/>
    <w:rPr>
      <w:sz w:val="18"/>
    </w:rPr>
  </w:style>
  <w:style w:type="paragraph" w:customStyle="1" w:styleId="BodySmallRight">
    <w:name w:val="Body Small Right"/>
    <w:basedOn w:val="BodyTextRight"/>
    <w:rsid w:val="004E2EDD"/>
    <w:rPr>
      <w:sz w:val="18"/>
      <w:szCs w:val="18"/>
    </w:rPr>
  </w:style>
  <w:style w:type="paragraph" w:customStyle="1" w:styleId="MarginEdition">
    <w:name w:val="Margin Edition"/>
    <w:basedOn w:val="MarginNote"/>
    <w:rsid w:val="004E2EDD"/>
    <w:pPr>
      <w:spacing w:before="0" w:after="0"/>
    </w:pPr>
    <w:rPr>
      <w:rFonts w:ascii="Times New Roman" w:hAnsi="Times New Roman"/>
      <w:color w:val="999999"/>
    </w:rPr>
  </w:style>
  <w:style w:type="paragraph" w:customStyle="1" w:styleId="Spacer">
    <w:name w:val="Spacer"/>
    <w:basedOn w:val="Normal"/>
    <w:rsid w:val="004E2EDD"/>
    <w:rPr>
      <w:sz w:val="2"/>
      <w:szCs w:val="2"/>
    </w:rPr>
  </w:style>
  <w:style w:type="character" w:customStyle="1" w:styleId="Small">
    <w:name w:val="Small"/>
    <w:basedOn w:val="DefaultParagraphFont"/>
    <w:rsid w:val="004E2EDD"/>
    <w:rPr>
      <w:sz w:val="16"/>
    </w:rPr>
  </w:style>
  <w:style w:type="paragraph" w:customStyle="1" w:styleId="WideTable">
    <w:name w:val="Wide Table"/>
    <w:basedOn w:val="Normal"/>
    <w:rsid w:val="004E2EDD"/>
    <w:pPr>
      <w:ind w:left="-1418"/>
    </w:pPr>
    <w:rPr>
      <w:sz w:val="2"/>
      <w:szCs w:val="2"/>
    </w:rPr>
  </w:style>
  <w:style w:type="character" w:styleId="PageNumber">
    <w:name w:val="page number"/>
    <w:basedOn w:val="DefaultParagraphFont"/>
    <w:rsid w:val="004E2EDD"/>
  </w:style>
  <w:style w:type="paragraph" w:styleId="Quote">
    <w:name w:val="Quote"/>
    <w:basedOn w:val="Heading1"/>
    <w:link w:val="QuoteChar"/>
    <w:qFormat/>
    <w:rsid w:val="004E2EDD"/>
    <w:rPr>
      <w:b w:val="0"/>
      <w:sz w:val="72"/>
      <w:szCs w:val="72"/>
      <w:lang w:val="en-NZ"/>
    </w:rPr>
  </w:style>
  <w:style w:type="character" w:customStyle="1" w:styleId="QuoteChar">
    <w:name w:val="Quote Char"/>
    <w:basedOn w:val="DefaultParagraphFont"/>
    <w:link w:val="Quote"/>
    <w:rsid w:val="004E2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EDD"/>
    <w:pPr>
      <w:pageBreakBefore/>
    </w:pPr>
  </w:style>
  <w:style w:type="paragraph" w:customStyle="1" w:styleId="Border">
    <w:name w:val="Border"/>
    <w:basedOn w:val="Normal"/>
    <w:qFormat/>
    <w:rsid w:val="004E2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EDD"/>
    <w:rPr>
      <w:b/>
      <w:bCs/>
      <w:i/>
      <w:iCs/>
      <w:color w:val="auto"/>
    </w:rPr>
  </w:style>
  <w:style w:type="paragraph" w:styleId="IntenseQuote">
    <w:name w:val="Intense Quote"/>
    <w:basedOn w:val="Normal"/>
    <w:next w:val="Normal"/>
    <w:link w:val="IntenseQuoteChar"/>
    <w:uiPriority w:val="30"/>
    <w:qFormat/>
    <w:rsid w:val="004E2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EDD"/>
    <w:rPr>
      <w:smallCaps/>
      <w:color w:val="auto"/>
      <w:u w:val="single"/>
    </w:rPr>
  </w:style>
  <w:style w:type="character" w:styleId="IntenseReference">
    <w:name w:val="Intense Reference"/>
    <w:basedOn w:val="DefaultParagraphFont"/>
    <w:uiPriority w:val="32"/>
    <w:qFormat/>
    <w:rsid w:val="004E2EDD"/>
    <w:rPr>
      <w:b/>
      <w:bCs/>
      <w:smallCaps/>
      <w:color w:val="auto"/>
      <w:spacing w:val="5"/>
      <w:u w:val="single"/>
    </w:rPr>
  </w:style>
  <w:style w:type="paragraph" w:customStyle="1" w:styleId="2ColumnHeading">
    <w:name w:val="2Column Heading"/>
    <w:basedOn w:val="BodyText"/>
    <w:qFormat/>
    <w:rsid w:val="004E2EDD"/>
    <w:pPr>
      <w:spacing w:after="60"/>
      <w:ind w:left="-2268"/>
    </w:pPr>
    <w:rPr>
      <w:b/>
    </w:rPr>
  </w:style>
  <w:style w:type="paragraph" w:customStyle="1" w:styleId="Heading1TOC">
    <w:name w:val="Heading1 TOC"/>
    <w:basedOn w:val="Normal"/>
    <w:qFormat/>
    <w:rsid w:val="004E2EDD"/>
    <w:pPr>
      <w:spacing w:before="240" w:after="120"/>
    </w:pPr>
    <w:rPr>
      <w:rFonts w:ascii="Times New Roman" w:hAnsi="Times New Roman"/>
      <w:b/>
      <w:sz w:val="32"/>
    </w:rPr>
  </w:style>
  <w:style w:type="paragraph" w:customStyle="1" w:styleId="Heading2TOC">
    <w:name w:val="Heading2 TOC"/>
    <w:basedOn w:val="Normal"/>
    <w:qFormat/>
    <w:rsid w:val="004E2EDD"/>
    <w:pPr>
      <w:spacing w:before="240" w:after="60"/>
    </w:pPr>
    <w:rPr>
      <w:rFonts w:ascii="Times New Roman" w:hAnsi="Times New Roman"/>
      <w:b/>
      <w:sz w:val="28"/>
    </w:rPr>
  </w:style>
  <w:style w:type="character" w:customStyle="1" w:styleId="Underline">
    <w:name w:val="Underline"/>
    <w:basedOn w:val="DefaultParagraphFont"/>
    <w:qFormat/>
    <w:rsid w:val="004E2EDD"/>
    <w:rPr>
      <w:u w:val="single"/>
    </w:rPr>
  </w:style>
  <w:style w:type="character" w:customStyle="1" w:styleId="BoldandItalics">
    <w:name w:val="Bold and Italics"/>
    <w:qFormat/>
    <w:rsid w:val="004E2EDD"/>
    <w:rPr>
      <w:b/>
      <w:i/>
      <w:u w:val="none"/>
    </w:rPr>
  </w:style>
  <w:style w:type="paragraph" w:styleId="BalloonText">
    <w:name w:val="Balloon Text"/>
    <w:basedOn w:val="Normal"/>
    <w:link w:val="BalloonTextChar"/>
    <w:rsid w:val="004E2EDD"/>
    <w:rPr>
      <w:rFonts w:ascii="Tahoma" w:hAnsi="Tahoma" w:cs="Tahoma"/>
      <w:sz w:val="16"/>
      <w:szCs w:val="16"/>
    </w:rPr>
  </w:style>
  <w:style w:type="character" w:customStyle="1" w:styleId="BalloonTextChar">
    <w:name w:val="Balloon Text Char"/>
    <w:basedOn w:val="DefaultParagraphFont"/>
    <w:link w:val="BalloonText"/>
    <w:rsid w:val="004E2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EDD"/>
    <w:rPr>
      <w:b/>
      <w:color w:val="660033"/>
      <w:spacing w:val="0"/>
    </w:rPr>
  </w:style>
  <w:style w:type="paragraph" w:customStyle="1" w:styleId="Nameditemlist">
    <w:name w:val="Named item list"/>
    <w:basedOn w:val="BodyText"/>
    <w:qFormat/>
    <w:rsid w:val="004E2EDD"/>
    <w:pPr>
      <w:tabs>
        <w:tab w:val="left" w:pos="2835"/>
      </w:tabs>
      <w:ind w:left="2835" w:hanging="2835"/>
    </w:pPr>
  </w:style>
  <w:style w:type="paragraph" w:customStyle="1" w:styleId="BodyTextnopadding">
    <w:name w:val="Body Text no padding"/>
    <w:basedOn w:val="BodyText"/>
    <w:qFormat/>
    <w:rsid w:val="004E2EDD"/>
    <w:pPr>
      <w:spacing w:before="0" w:after="0"/>
    </w:pPr>
  </w:style>
  <w:style w:type="character" w:styleId="Hyperlink">
    <w:name w:val="Hyperlink"/>
    <w:basedOn w:val="DefaultParagraphFont"/>
    <w:uiPriority w:val="99"/>
    <w:unhideWhenUsed/>
    <w:rsid w:val="000D3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6529</Characters>
  <Application>Microsoft Office Word</Application>
  <DocSecurity>0</DocSecurity>
  <Lines>159</Lines>
  <Paragraphs>109</Paragraphs>
  <ScaleCrop>false</ScaleCrop>
  <Company>Author-it Software Corporation Ltd.</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RIINHB324E Conduct grouting or cementing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