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106" w:rsidP="00F03106">
      <w:pPr>
        <w:pStyle w:val="Title"/>
      </w:pPr>
      <w:r>
        <w:fldChar w:fldCharType="begin"/>
      </w:r>
      <w:r>
        <w:instrText xml:space="preserve"> TITLE   \* MERGEFORMAT </w:instrText>
      </w:r>
      <w:r>
        <w:fldChar w:fldCharType="separate"/>
      </w:r>
      <w:r>
        <w:t>Assessment Requirements for RIINHB322D Construct multiple aquifer production bores</w:t>
      </w:r>
      <w:r>
        <w:fldChar w:fldCharType="end"/>
      </w:r>
    </w:p>
    <w:p w:rsidR="00F03106" w:rsidP="00F03106">
      <w:pPr>
        <w:pStyle w:val="Version"/>
        <w:sectPr w:rsidSect="00046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60A5" w:rsidP="000460A5">
      <w:pPr>
        <w:pStyle w:val="SuperHeading"/>
      </w:pPr>
      <w:r w:rsidRPr="000460A5">
        <w:t>Assessment Requirements for RIINHB322D Construct multiple aquifer production bores</w:t>
      </w:r>
    </w:p>
    <w:p w:rsidR="00000000" w:rsidRPr="000460A5" w:rsidP="000460A5">
      <w:pPr>
        <w:pStyle w:val="Heading1"/>
      </w:pPr>
      <w:bookmarkStart w:id="1" w:name="O_689902"/>
      <w:bookmarkEnd w:id="1"/>
      <w:r w:rsidRPr="000460A5">
        <w:t>Modification History</w:t>
      </w:r>
    </w:p>
    <w:tbl>
      <w:tblPr>
        <w:tblW w:w="0" w:type="auto"/>
        <w:tblCellMar>
          <w:left w:w="62" w:type="dxa"/>
          <w:right w:w="62" w:type="dxa"/>
        </w:tblCellMar>
        <w:tblLook w:val="0000"/>
      </w:tblPr>
      <w:tblGrid>
        <w:gridCol w:w="1107"/>
        <w:gridCol w:w="8089"/>
      </w:tblGrid>
      <w:tr w:rsidTr="00F0310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A5">
            <w:pPr>
              <w:pStyle w:val="Heading4"/>
              <w:rPr>
                <w:lang w:val="en-NZ"/>
              </w:rPr>
            </w:pPr>
            <w:r w:rsidRPr="000460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A5">
            <w:pPr>
              <w:pStyle w:val="Heading4"/>
              <w:rPr>
                <w:lang w:val="en-NZ"/>
              </w:rPr>
            </w:pPr>
            <w:r w:rsidRPr="000460A5">
              <w:t>Comment</w:t>
            </w:r>
          </w:p>
        </w:tc>
      </w:tr>
      <w:tr w:rsidTr="00F031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A5">
            <w:pPr>
              <w:pStyle w:val="BodyText"/>
              <w:rPr>
                <w:lang w:val="en-NZ"/>
              </w:rPr>
            </w:pPr>
            <w:r w:rsidRPr="000460A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A5">
            <w:pPr>
              <w:pStyle w:val="BodyText"/>
              <w:rPr>
                <w:lang w:val="en-NZ"/>
              </w:rPr>
            </w:pPr>
            <w:r w:rsidRPr="000460A5">
              <w:t>This unit replaces RIINHB322A Construct multiple aquifer production bores</w:t>
            </w:r>
          </w:p>
        </w:tc>
      </w:tr>
      <w:tr w:rsidTr="00F031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0A5">
            <w:pPr>
              <w:pStyle w:val="BodyText"/>
              <w:rPr>
                <w:lang w:val="en-NZ"/>
              </w:rPr>
            </w:pPr>
            <w:r w:rsidRPr="000460A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0A5" w:rsidP="000460A5">
            <w:pPr>
              <w:pStyle w:val="BodyText"/>
            </w:pPr>
            <w:r w:rsidRPr="000460A5">
              <w:t>Required frequency and volume of evidence amended in Performance evidence.</w:t>
            </w:r>
          </w:p>
          <w:p w:rsidR="00000000" w:rsidRPr="000460A5" w:rsidP="000460A5">
            <w:pPr>
              <w:pStyle w:val="BodyText"/>
            </w:pPr>
            <w:r w:rsidRPr="000460A5">
              <w:t>Substantial amendments made in Assessment Conditions field, including: references to Industry Sectors, assessor and subject matter expert experience requirements, how assessment sho</w:t>
            </w:r>
            <w:r w:rsidRPr="000460A5">
              <w:t>uld be conducted and what it should confirm.</w:t>
            </w:r>
          </w:p>
        </w:tc>
      </w:tr>
    </w:tbl>
    <w:p w:rsidR="00000000" w:rsidRPr="000460A5" w:rsidP="000460A5">
      <w:pPr>
        <w:pStyle w:val="BodyText"/>
      </w:pPr>
    </w:p>
    <w:p w:rsidR="00000000" w:rsidRPr="000460A5" w:rsidP="000460A5">
      <w:pPr>
        <w:pStyle w:val="AllowPageBreak"/>
      </w:pPr>
    </w:p>
    <w:p w:rsidR="00000000" w:rsidRPr="000460A5" w:rsidP="000460A5">
      <w:pPr>
        <w:pStyle w:val="Heading1"/>
      </w:pPr>
      <w:bookmarkStart w:id="2" w:name="O_689901"/>
      <w:bookmarkEnd w:id="2"/>
      <w:r w:rsidRPr="000460A5">
        <w:t>Performance Evidence</w:t>
      </w:r>
    </w:p>
    <w:p w:rsidR="00000000" w:rsidRPr="000460A5" w:rsidP="00F03106">
      <w:pPr>
        <w:pStyle w:val="BodyText"/>
      </w:pPr>
      <w:r w:rsidRPr="000460A5">
        <w:t>Evidence is required to be collected that demonstrates a candidate’s competency in this unit. Evidence must be relevant to the roles within this sector’</w:t>
      </w:r>
      <w:r w:rsidRPr="000460A5">
        <w:t>s work operations and satisfy all of the requirements of the performance criteria of this unit and include evidence that the candidate:</w:t>
      </w:r>
    </w:p>
    <w:p w:rsidR="00000000" w:rsidRPr="000460A5" w:rsidP="000460A5">
      <w:pPr>
        <w:pStyle w:val="ListBullet2"/>
      </w:pPr>
      <w:r w:rsidRPr="000460A5">
        <w:t>locates and applies relevant legislation, documentation, policies and procedures</w:t>
      </w:r>
    </w:p>
    <w:p w:rsidR="00000000" w:rsidRPr="000460A5" w:rsidP="000460A5">
      <w:pPr>
        <w:pStyle w:val="ListBullet2"/>
      </w:pPr>
      <w:r w:rsidRPr="000460A5">
        <w:t>implements the requirements, procedure</w:t>
      </w:r>
      <w:r w:rsidRPr="000460A5">
        <w:t>s and techniques for the safe, effective and efficient completion of multiple aquifer production bore construction including:</w:t>
      </w:r>
    </w:p>
    <w:p w:rsidR="00000000" w:rsidRPr="000460A5" w:rsidP="000460A5">
      <w:pPr>
        <w:pStyle w:val="ListBullet3"/>
      </w:pPr>
      <w:r w:rsidRPr="000460A5">
        <w:t>performing aquifer sand sieve analysis tests</w:t>
      </w:r>
    </w:p>
    <w:p w:rsidR="00000000" w:rsidRPr="000460A5" w:rsidP="000460A5">
      <w:pPr>
        <w:pStyle w:val="ListBullet3"/>
      </w:pPr>
      <w:r w:rsidRPr="000460A5">
        <w:t>calculating the specific capacity of a bore</w:t>
      </w:r>
    </w:p>
    <w:p w:rsidR="00000000" w:rsidRPr="000460A5" w:rsidP="000460A5">
      <w:pPr>
        <w:pStyle w:val="ListBullet3"/>
      </w:pPr>
      <w:r w:rsidRPr="000460A5">
        <w:t xml:space="preserve">calculating grout component quantities, </w:t>
      </w:r>
      <w:r w:rsidRPr="000460A5">
        <w:t>i.e. cement powder, water and other additives as required</w:t>
      </w:r>
    </w:p>
    <w:p w:rsidR="00000000" w:rsidRPr="000460A5" w:rsidP="000460A5">
      <w:pPr>
        <w:pStyle w:val="ListBullet3"/>
      </w:pPr>
      <w:r w:rsidRPr="000460A5">
        <w:t>calculating hole and annular volumes</w:t>
      </w:r>
    </w:p>
    <w:p w:rsidR="00000000" w:rsidRPr="000460A5" w:rsidP="000460A5">
      <w:pPr>
        <w:pStyle w:val="ListBullet3"/>
      </w:pPr>
      <w:r w:rsidRPr="000460A5">
        <w:t>calculating grout/mud specific gravity</w:t>
      </w:r>
    </w:p>
    <w:p w:rsidR="00000000" w:rsidRPr="000460A5" w:rsidP="000460A5">
      <w:pPr>
        <w:pStyle w:val="ListBullet3"/>
      </w:pPr>
      <w:r w:rsidRPr="000460A5">
        <w:t>determining grain size and selection of appropriate artificial pack material</w:t>
      </w:r>
    </w:p>
    <w:p w:rsidR="00000000" w:rsidRPr="000460A5" w:rsidP="000460A5">
      <w:pPr>
        <w:pStyle w:val="ListBullet2"/>
      </w:pPr>
      <w:r w:rsidRPr="000460A5">
        <w:t>works effectively with others to undertake a</w:t>
      </w:r>
      <w:r w:rsidRPr="000460A5">
        <w:t>nd complete the construction of multiple aquifer production bores that meets all of the required outcomes including:</w:t>
      </w:r>
    </w:p>
    <w:p w:rsidR="00000000" w:rsidRPr="000460A5" w:rsidP="000460A5">
      <w:pPr>
        <w:pStyle w:val="ListBullet3"/>
      </w:pPr>
      <w:r w:rsidRPr="000460A5">
        <w:t>complying with written and verbal reporting requirements and procedures</w:t>
      </w:r>
    </w:p>
    <w:p w:rsidR="00000000" w:rsidRPr="000460A5" w:rsidP="000460A5">
      <w:pPr>
        <w:pStyle w:val="ListBullet3"/>
      </w:pPr>
      <w:r w:rsidRPr="000460A5">
        <w:t>communicating clearly and concisely with others to receive and cla</w:t>
      </w:r>
      <w:r w:rsidRPr="000460A5">
        <w:t>rify work instructions</w:t>
      </w:r>
    </w:p>
    <w:p w:rsidR="00000000" w:rsidRPr="000460A5" w:rsidP="000460A5">
      <w:pPr>
        <w:pStyle w:val="ListBullet3"/>
      </w:pPr>
      <w:r w:rsidRPr="000460A5">
        <w:t>communicating clearly and concisely with others to resolve coordination requirements prior to commencing and during work activities</w:t>
      </w:r>
    </w:p>
    <w:p w:rsidR="00000000" w:rsidRPr="000460A5" w:rsidP="000460A5">
      <w:pPr>
        <w:pStyle w:val="ListBullet"/>
      </w:pPr>
      <w:r w:rsidRPr="000460A5">
        <w:t xml:space="preserve">demonstrates completion of the construction of multiple aquifer production bores that </w:t>
      </w:r>
      <w:r w:rsidRPr="000460A5">
        <w:t>safely, effectively and efficiently meets all of the required outcomes on more than one (1) occasion including:</w:t>
      </w:r>
    </w:p>
    <w:p w:rsidR="00000000" w:rsidRPr="000460A5" w:rsidP="000460A5">
      <w:pPr>
        <w:pStyle w:val="ListBullet3"/>
      </w:pPr>
      <w:r w:rsidRPr="000460A5">
        <w:t>designing the bore to ensure the exclusion of unsuitable waters and to prevent the inter-mixing of aquifers with different water quality or Sta</w:t>
      </w:r>
      <w:r w:rsidRPr="000460A5">
        <w:t>nding Water Levels</w:t>
      </w:r>
    </w:p>
    <w:p w:rsidR="00000000" w:rsidRPr="000460A5" w:rsidP="000460A5">
      <w:pPr>
        <w:pStyle w:val="ListBullet3"/>
      </w:pPr>
      <w:r w:rsidRPr="000460A5">
        <w:t>selecting a bore site that will prevent contamination and minimise interference with other bores and that is safe with respect to potential occupational health and safety hazards</w:t>
      </w:r>
    </w:p>
    <w:p w:rsidR="00000000" w:rsidRPr="000460A5" w:rsidP="000460A5">
      <w:pPr>
        <w:pStyle w:val="ListBullet3"/>
      </w:pPr>
      <w:r w:rsidRPr="000460A5">
        <w:t xml:space="preserve">selecting likely water entry mechanism from the formation </w:t>
      </w:r>
      <w:r w:rsidRPr="000460A5">
        <w:t>to the bore such as open hole, slotted casing screens, gravel packs</w:t>
      </w:r>
    </w:p>
    <w:p w:rsidR="00000000" w:rsidRPr="000460A5" w:rsidP="000460A5">
      <w:pPr>
        <w:pStyle w:val="ListBullet3"/>
      </w:pPr>
      <w:r w:rsidRPr="000460A5">
        <w:t>assembling and inserting casing and screens</w:t>
      </w:r>
    </w:p>
    <w:p w:rsidR="00000000" w:rsidRPr="000460A5" w:rsidP="000460A5">
      <w:pPr>
        <w:pStyle w:val="ListBullet3"/>
      </w:pPr>
      <w:r w:rsidRPr="000460A5">
        <w:t>completing grouting operations to seal intermediate and/or production casing strings or to seal selected zones</w:t>
      </w:r>
    </w:p>
    <w:p w:rsidR="00000000" w:rsidRPr="000460A5" w:rsidP="000460A5">
      <w:pPr>
        <w:pStyle w:val="ListBullet3"/>
      </w:pPr>
      <w:r w:rsidRPr="000460A5">
        <w:t>maintaining plumbness and alignme</w:t>
      </w:r>
      <w:r w:rsidRPr="000460A5">
        <w:t>nt of the hole within the required limitations</w:t>
      </w:r>
    </w:p>
    <w:p w:rsidR="00000000" w:rsidRPr="000460A5" w:rsidP="000460A5">
      <w:pPr>
        <w:pStyle w:val="ListBullet3"/>
      </w:pPr>
      <w:r w:rsidRPr="000460A5">
        <w:t>continuing development until a continuous, clean supply of water is obtained, in accordance with site, contractual or regulatory requirements</w:t>
      </w:r>
    </w:p>
    <w:p w:rsidR="00000000" w:rsidRPr="000460A5" w:rsidP="000460A5">
      <w:pPr>
        <w:pStyle w:val="ListBullet3"/>
      </w:pPr>
      <w:r w:rsidRPr="000460A5">
        <w:t>performing tests to estimate the sustainable yield of the bore</w:t>
      </w:r>
    </w:p>
    <w:p w:rsidR="00000000" w:rsidRPr="000460A5" w:rsidP="000460A5">
      <w:pPr>
        <w:pStyle w:val="AllowPageBreak"/>
      </w:pPr>
    </w:p>
    <w:p w:rsidR="00000000" w:rsidRPr="000460A5" w:rsidP="000460A5">
      <w:pPr>
        <w:pStyle w:val="Heading1"/>
      </w:pPr>
      <w:bookmarkStart w:id="3" w:name="O_689900"/>
      <w:bookmarkEnd w:id="3"/>
      <w:r w:rsidRPr="000460A5">
        <w:t>Knowledge Evidence</w:t>
      </w:r>
    </w:p>
    <w:p w:rsidR="00000000" w:rsidRPr="000460A5" w:rsidP="00F03106">
      <w:pPr>
        <w:pStyle w:val="BodyText"/>
      </w:pPr>
      <w:r w:rsidRPr="000460A5">
        <w:t>The candidate must demonstrate knowledge in constructing multiple aquifer production bores through:</w:t>
      </w:r>
    </w:p>
    <w:p w:rsidR="00000000" w:rsidRPr="000460A5" w:rsidP="000460A5">
      <w:pPr>
        <w:pStyle w:val="ListBullet3"/>
      </w:pPr>
      <w:r w:rsidRPr="000460A5">
        <w:t>work, health and safety</w:t>
      </w:r>
    </w:p>
    <w:p w:rsidR="00000000" w:rsidRPr="000460A5" w:rsidP="000460A5">
      <w:pPr>
        <w:pStyle w:val="ListBullet3"/>
      </w:pPr>
      <w:r w:rsidRPr="000460A5">
        <w:t>environmental issues</w:t>
      </w:r>
    </w:p>
    <w:p w:rsidR="00000000" w:rsidRPr="000460A5" w:rsidP="000460A5">
      <w:pPr>
        <w:pStyle w:val="ListBullet3"/>
      </w:pPr>
      <w:r w:rsidRPr="000460A5">
        <w:t>operating drill rig</w:t>
      </w:r>
    </w:p>
    <w:p w:rsidR="00000000" w:rsidRPr="000460A5" w:rsidP="000460A5">
      <w:pPr>
        <w:pStyle w:val="ListBullet3"/>
      </w:pPr>
      <w:r w:rsidRPr="000460A5">
        <w:t>housekeeping</w:t>
      </w:r>
    </w:p>
    <w:p w:rsidR="00000000" w:rsidRPr="000460A5" w:rsidP="000460A5">
      <w:pPr>
        <w:pStyle w:val="ListBullet2"/>
      </w:pPr>
      <w:r w:rsidRPr="000460A5">
        <w:t xml:space="preserve">identifying with the </w:t>
      </w:r>
      <w:r w:rsidRPr="000460A5">
        <w:t>equipment characteristics, technical capabilities and limitations</w:t>
      </w:r>
    </w:p>
    <w:p w:rsidR="00000000" w:rsidRPr="000460A5" w:rsidP="000460A5">
      <w:pPr>
        <w:pStyle w:val="ListBullet2"/>
      </w:pPr>
      <w:r w:rsidRPr="000460A5">
        <w:t>testing for alignment and plumbness of bores</w:t>
      </w:r>
    </w:p>
    <w:p w:rsidR="00000000" w:rsidRPr="000460A5" w:rsidP="000460A5">
      <w:pPr>
        <w:pStyle w:val="ListBullet2"/>
      </w:pPr>
      <w:r w:rsidRPr="000460A5">
        <w:t>hole preparation for cementing (grouting) operations</w:t>
      </w:r>
    </w:p>
    <w:p w:rsidR="00000000" w:rsidRPr="000460A5" w:rsidP="000460A5">
      <w:pPr>
        <w:pStyle w:val="ListBullet2"/>
      </w:pPr>
      <w:r w:rsidRPr="000460A5">
        <w:t>effects of various cement (grout) additives</w:t>
      </w:r>
    </w:p>
    <w:p w:rsidR="00000000" w:rsidRPr="000460A5" w:rsidP="000460A5">
      <w:pPr>
        <w:pStyle w:val="ListBullet2"/>
      </w:pPr>
      <w:r w:rsidRPr="000460A5">
        <w:t>pressure cementing methods</w:t>
      </w:r>
    </w:p>
    <w:p w:rsidR="00000000" w:rsidRPr="000460A5" w:rsidP="000460A5">
      <w:pPr>
        <w:pStyle w:val="ListBullet2"/>
      </w:pPr>
      <w:r w:rsidRPr="000460A5">
        <w:t>casing collapse chara</w:t>
      </w:r>
      <w:r w:rsidRPr="000460A5">
        <w:t>cteristics</w:t>
      </w:r>
    </w:p>
    <w:p w:rsidR="00000000" w:rsidRPr="000460A5" w:rsidP="000460A5">
      <w:pPr>
        <w:pStyle w:val="ListBullet2"/>
      </w:pPr>
      <w:r w:rsidRPr="000460A5">
        <w:t>applications for wire-wound screens</w:t>
      </w:r>
    </w:p>
    <w:p w:rsidR="00000000" w:rsidRPr="000460A5" w:rsidP="000460A5">
      <w:pPr>
        <w:pStyle w:val="ListBullet2"/>
      </w:pPr>
      <w:r w:rsidRPr="000460A5">
        <w:t>screen design parameters to ensure appropriate entrance velocities</w:t>
      </w:r>
    </w:p>
    <w:p w:rsidR="00000000" w:rsidRPr="000460A5" w:rsidP="000460A5">
      <w:pPr>
        <w:pStyle w:val="ListBullet2"/>
      </w:pPr>
      <w:r w:rsidRPr="000460A5">
        <w:t>interpreting the sieve analysis results</w:t>
      </w:r>
    </w:p>
    <w:p w:rsidR="00000000" w:rsidRPr="000460A5" w:rsidP="000460A5">
      <w:pPr>
        <w:pStyle w:val="ListBullet2"/>
      </w:pPr>
      <w:r w:rsidRPr="000460A5">
        <w:t>observing the objectives of bore development</w:t>
      </w:r>
    </w:p>
    <w:p w:rsidR="00000000" w:rsidRPr="000460A5" w:rsidP="000460A5">
      <w:pPr>
        <w:pStyle w:val="ListBullet2"/>
      </w:pPr>
      <w:r w:rsidRPr="000460A5">
        <w:t>types of drilling fluids</w:t>
      </w:r>
    </w:p>
    <w:p w:rsidR="00000000" w:rsidRPr="000460A5" w:rsidP="000460A5">
      <w:pPr>
        <w:pStyle w:val="ListBullet2"/>
      </w:pPr>
      <w:r w:rsidRPr="000460A5">
        <w:t>grout placement methods and procedures</w:t>
      </w:r>
    </w:p>
    <w:p w:rsidR="00000000" w:rsidRPr="000460A5" w:rsidP="000460A5">
      <w:pPr>
        <w:pStyle w:val="ListBullet2"/>
      </w:pPr>
      <w:r w:rsidRPr="000460A5">
        <w:t>range of numerical calculations to calculate:</w:t>
      </w:r>
    </w:p>
    <w:p w:rsidR="00000000" w:rsidRPr="000460A5" w:rsidP="000460A5">
      <w:pPr>
        <w:pStyle w:val="ListBullet3"/>
      </w:pPr>
      <w:r w:rsidRPr="000460A5">
        <w:t>volume (e.g. mud pits, drums, tanks or bore holes of given dimensions, annulus)</w:t>
      </w:r>
    </w:p>
    <w:p w:rsidR="00000000" w:rsidRPr="000460A5" w:rsidP="000460A5">
      <w:pPr>
        <w:pStyle w:val="ListBullet3"/>
      </w:pPr>
      <w:r w:rsidRPr="000460A5">
        <w:t>up hole velocity</w:t>
      </w:r>
    </w:p>
    <w:p w:rsidR="00000000" w:rsidRPr="000460A5" w:rsidP="000460A5">
      <w:pPr>
        <w:pStyle w:val="ListBullet3"/>
      </w:pPr>
      <w:r w:rsidRPr="000460A5">
        <w:t>cement/water/additives quantities</w:t>
      </w:r>
    </w:p>
    <w:p w:rsidR="00000000" w:rsidRPr="000460A5" w:rsidP="000460A5">
      <w:pPr>
        <w:pStyle w:val="ListBullet3"/>
      </w:pPr>
      <w:r w:rsidRPr="000460A5">
        <w:t>screen design parameters</w:t>
      </w:r>
    </w:p>
    <w:p w:rsidR="00000000" w:rsidRPr="000460A5" w:rsidP="000460A5">
      <w:pPr>
        <w:pStyle w:val="ListBullet3"/>
      </w:pPr>
      <w:r w:rsidRPr="000460A5">
        <w:t>flow rates (e.</w:t>
      </w:r>
      <w:r w:rsidRPr="000460A5">
        <w:t>g. L/sec, GPM)</w:t>
      </w:r>
    </w:p>
    <w:p w:rsidR="00000000" w:rsidRPr="000460A5" w:rsidP="000460A5">
      <w:pPr>
        <w:pStyle w:val="ListBullet3"/>
      </w:pPr>
      <w:r w:rsidRPr="000460A5">
        <w:t>conversion from imperial to metric and vice versa</w:t>
      </w:r>
    </w:p>
    <w:p w:rsidR="00000000" w:rsidRPr="000460A5" w:rsidP="000460A5">
      <w:pPr>
        <w:pStyle w:val="ListBullet3"/>
      </w:pPr>
      <w:r w:rsidRPr="000460A5">
        <w:t>conducting a sieve analysis</w:t>
      </w:r>
    </w:p>
    <w:p w:rsidR="00000000" w:rsidRPr="000460A5" w:rsidP="000460A5">
      <w:pPr>
        <w:pStyle w:val="ListBullet2"/>
      </w:pPr>
      <w:r w:rsidRPr="000460A5">
        <w:t>understanding the appropriate fishing operations for the type(s) of drilling being undertaken</w:t>
      </w:r>
    </w:p>
    <w:p w:rsidR="00000000" w:rsidRPr="000460A5" w:rsidP="000460A5">
      <w:pPr>
        <w:pStyle w:val="ListBullet2"/>
      </w:pPr>
      <w:r w:rsidRPr="000460A5">
        <w:t>reading, interpreting and applying the required safety data sheets (</w:t>
      </w:r>
      <w:r w:rsidRPr="000460A5">
        <w:t>SDS)</w:t>
      </w:r>
    </w:p>
    <w:p w:rsidR="00000000" w:rsidRPr="000460A5" w:rsidP="000460A5">
      <w:pPr>
        <w:pStyle w:val="ListBullet2"/>
      </w:pPr>
      <w:r w:rsidRPr="000460A5">
        <w:t>being prepared for fire/accident/emergency</w:t>
      </w:r>
    </w:p>
    <w:p w:rsidR="00000000" w:rsidRPr="000460A5" w:rsidP="000460A5">
      <w:pPr>
        <w:pStyle w:val="AllowPageBreak"/>
      </w:pPr>
    </w:p>
    <w:p w:rsidR="00000000" w:rsidRPr="000460A5" w:rsidP="000460A5">
      <w:pPr>
        <w:pStyle w:val="Heading1"/>
      </w:pPr>
      <w:bookmarkStart w:id="4" w:name="O_689899"/>
      <w:bookmarkEnd w:id="4"/>
      <w:r w:rsidRPr="000460A5">
        <w:t>Assessment Conditions</w:t>
      </w:r>
    </w:p>
    <w:p w:rsidR="00000000" w:rsidRPr="000460A5" w:rsidP="000460A5">
      <w:pPr>
        <w:pStyle w:val="ListBullet"/>
      </w:pPr>
      <w:r w:rsidRPr="000460A5">
        <w:t xml:space="preserve">An assessor of this unit must satisfy the requirements of the NVR/AQTF or their successors; and Industry regulations for certification and licensing; and, </w:t>
      </w:r>
    </w:p>
    <w:p w:rsidR="00000000" w:rsidRPr="000460A5" w:rsidP="000460A5">
      <w:pPr>
        <w:pStyle w:val="ListBullet"/>
      </w:pPr>
      <w:r w:rsidRPr="000460A5">
        <w:t>this unit must be assessed in the context of this sector’s work environment; and,</w:t>
      </w:r>
    </w:p>
    <w:p w:rsidR="00000000" w:rsidRPr="000460A5" w:rsidP="000460A5">
      <w:pPr>
        <w:pStyle w:val="ListBullet"/>
      </w:pPr>
      <w:r w:rsidRPr="000460A5">
        <w:t>this unit must be assessed in compliance with relevant legislation/regulation and using policies, procedures, processes and operational manuals directly related to the indust</w:t>
      </w:r>
      <w:r w:rsidRPr="000460A5">
        <w:t>ry sector for which it is being assessed; and,</w:t>
      </w:r>
    </w:p>
    <w:p w:rsidR="00000000" w:rsidRPr="000460A5" w:rsidP="000460A5">
      <w:pPr>
        <w:pStyle w:val="ListBullet"/>
      </w:pPr>
      <w:r w:rsidRPr="000460A5">
        <w:t>assessment may be conducted in conjunction with the assessment of other Units of Competency; and,</w:t>
      </w:r>
    </w:p>
    <w:p w:rsidR="00000000" w:rsidRPr="000460A5" w:rsidP="000460A5">
      <w:pPr>
        <w:pStyle w:val="ListBullet"/>
      </w:pPr>
      <w:r w:rsidRPr="000460A5">
        <w:t>assessment must confirm consistent performance can be applied in a range of relevant workplace circumstances; a</w:t>
      </w:r>
      <w:r w:rsidRPr="000460A5">
        <w:t>nd,</w:t>
      </w:r>
    </w:p>
    <w:p w:rsidR="00000000" w:rsidRPr="000460A5" w:rsidP="000460A5">
      <w:pPr>
        <w:pStyle w:val="ListBullet"/>
      </w:pPr>
      <w:r w:rsidRPr="000460A5">
        <w:t>assessors must demonstrate the performance evidence, and knowledge evidence as outlined in this Unit of Competency, and through the minimum years of current* work experience specified below in an Industry sector relevant to the outcomes of the unit; or</w:t>
      </w:r>
      <w:r w:rsidRPr="000460A5">
        <w:t>,</w:t>
      </w:r>
    </w:p>
    <w:p w:rsidR="00000000" w:rsidRPr="000460A5" w:rsidP="000460A5">
      <w:pPr>
        <w:pStyle w:val="ListBullet"/>
      </w:pPr>
      <w:r w:rsidRPr="000460A5">
        <w:t>where the assessor does not meet experience requirements a co-assessment or partnership arrangement must exist between the qualified assessor and an Industry subject matter expert. The Industry subject matter expert should hold the unit being assessed (o</w:t>
      </w:r>
      <w:r w:rsidRPr="000460A5">
        <w:t>r an equivalent unit) and/or demonstrate equivalence of skills and knowledge at the unit level. An Industry technical expert must also demonstrate skills and knowledge from the minimum years of current work experience specified below in the Industry sector</w:t>
      </w:r>
      <w:r w:rsidRPr="000460A5">
        <w:t>, including time spent in roles related to the unit being assessed; and,</w:t>
      </w:r>
    </w:p>
    <w:p w:rsidR="00000000" w:rsidRPr="000460A5" w:rsidP="000460A5">
      <w:pPr>
        <w:pStyle w:val="ListBullet"/>
      </w:pPr>
      <w:r w:rsidRPr="000460A5">
        <w:t>assessor and Industry subject matter expert requirements differ depending on the Australian Qualifications Framework Level (AQF) of the qualification being assessed and/or Industry Se</w:t>
      </w:r>
      <w:r w:rsidRPr="000460A5">
        <w:t>ctor as follows:</w:t>
      </w:r>
    </w:p>
    <w:tbl>
      <w:tblPr>
        <w:tblW w:w="8896" w:type="dxa"/>
        <w:tblInd w:w="360" w:type="dxa"/>
        <w:tblLayout w:type="fixed"/>
        <w:tblCellMar>
          <w:left w:w="62" w:type="dxa"/>
          <w:right w:w="62" w:type="dxa"/>
        </w:tblCellMar>
        <w:tblLook w:val="0000"/>
      </w:tblPr>
      <w:tblGrid>
        <w:gridCol w:w="4218"/>
        <w:gridCol w:w="1559"/>
        <w:gridCol w:w="3119"/>
      </w:tblGrid>
      <w:tr w:rsidTr="000460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Heading4"/>
              <w:rPr>
                <w:lang w:val="en-NZ"/>
              </w:rPr>
            </w:pPr>
            <w:r w:rsidRPr="000460A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Heading4"/>
              <w:rPr>
                <w:lang w:val="en-NZ"/>
              </w:rPr>
            </w:pPr>
            <w:r w:rsidRPr="000460A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Heading4"/>
              <w:rPr>
                <w:lang w:val="en-NZ"/>
              </w:rPr>
            </w:pPr>
            <w:r w:rsidRPr="000460A5">
              <w:t>Required assessor or Industry subject matter expert experience</w:t>
            </w:r>
          </w:p>
        </w:tc>
      </w:tr>
      <w:tr w:rsidTr="000460A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1 Year</w:t>
            </w:r>
          </w:p>
        </w:tc>
      </w:tr>
      <w:tr w:rsidTr="000460A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2 Years</w:t>
            </w:r>
          </w:p>
        </w:tc>
      </w:tr>
      <w:tr w:rsidTr="000460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3 Years</w:t>
            </w:r>
          </w:p>
        </w:tc>
      </w:tr>
      <w:tr w:rsidTr="000460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5 Years</w:t>
            </w:r>
          </w:p>
        </w:tc>
      </w:tr>
      <w:tr w:rsidTr="000460A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0A5">
            <w:pPr>
              <w:pStyle w:val="BodyText"/>
              <w:rPr>
                <w:lang w:val="en-NZ"/>
              </w:rPr>
            </w:pPr>
            <w:r w:rsidRPr="000460A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0A5" w:rsidP="000460A5">
            <w:pPr>
              <w:pStyle w:val="BodyText"/>
            </w:pPr>
            <w:r w:rsidRPr="000460A5">
              <w:t>Where this Unit is being assessed outside of the Resources and Infrastructure Sectors assessor and/or Industry subject matter expert experience should be in-line with industry standards for the sector in which it is being assessed and where no Industry sta</w:t>
            </w:r>
            <w:r w:rsidRPr="000460A5">
              <w:t>ndard is specified should comply with any relevant regulation.</w:t>
            </w:r>
          </w:p>
        </w:tc>
      </w:tr>
    </w:tbl>
    <w:p w:rsidR="00000000" w:rsidRPr="000460A5" w:rsidP="00F03106">
      <w:pPr>
        <w:pStyle w:val="BodyText"/>
      </w:pPr>
      <w:r w:rsidRPr="000460A5">
        <w:t>*Assessors can demonstrate current work experience through employment within Industry in a role relevant to the outcomes of the Unit; or, for external assessors this can be demonstrated throu</w:t>
      </w:r>
      <w:r w:rsidRPr="000460A5">
        <w:t>gh exposure to Industry by conducting frequent site assessments across various locations.</w:t>
      </w:r>
    </w:p>
    <w:p w:rsidR="00F03106" w:rsidP="00F03106">
      <w:pPr>
        <w:pStyle w:val="BodyText"/>
      </w:pPr>
      <w:r w:rsidRPr="000460A5">
        <w:t>**Where a unit is being delivered outside of a Qualification the first numeric character in the Unit code should be considered to indicate the AQF level</w:t>
      </w:r>
    </w:p>
    <w:p w:rsidR="00000000" w:rsidRPr="000460A5" w:rsidP="000460A5">
      <w:pPr>
        <w:pStyle w:val="Heading1"/>
      </w:pPr>
      <w:bookmarkStart w:id="5" w:name="O_689911"/>
      <w:bookmarkEnd w:id="5"/>
      <w:r w:rsidRPr="000460A5">
        <w:t>Links</w:t>
      </w:r>
    </w:p>
    <w:p w:rsidR="00000000" w:rsidRPr="000460A5" w:rsidP="00F03106">
      <w:pPr>
        <w:pStyle w:val="BodyText"/>
      </w:pPr>
      <w:r w:rsidRPr="000460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603FF">
        <w:rPr>
          <w:rStyle w:val="Hyperlink"/>
        </w:rPr>
        <w:t>https://vetnet.gov.au/Pages/TrainingDocs.aspx?q=88a61002-9a21-4386-aaf8-69c76e675272</w:t>
      </w:r>
      <w:r>
        <w:fldChar w:fldCharType="end"/>
      </w:r>
    </w:p>
    <w:p w:rsidR="00000000" w:rsidRPr="000460A5" w:rsidP="000460A5"/>
    <w:sectPr w:rsidSect="00046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A5" w:rsidRPr="00F03106" w:rsidP="00F03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06" w:rsidP="00046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106" w:rsidP="000460A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03106" w:rsidP="00046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0A5" w:rsidRPr="00F03106" w:rsidP="00F031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06" w:rsidRPr="002D2AF8" w:rsidP="000460A5">
    <w:pPr>
      <w:pStyle w:val="Header"/>
      <w:framePr w:wrap="around"/>
    </w:pPr>
    <w:r>
      <w:fldChar w:fldCharType="begin"/>
    </w:r>
    <w:r>
      <w:instrText xml:space="preserve"> TITLE   \* MERGEFORMAT </w:instrText>
    </w:r>
    <w:r>
      <w:fldChar w:fldCharType="separate"/>
    </w:r>
    <w:r>
      <w:t>Assessment Requirements for RIINHB322D Construct multiple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F03106" w:rsidP="00046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E0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2D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25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0A5"/>
    <w:pPr>
      <w:spacing w:before="360" w:after="60"/>
      <w:outlineLvl w:val="0"/>
    </w:pPr>
    <w:rPr>
      <w:sz w:val="32"/>
    </w:rPr>
  </w:style>
  <w:style w:type="paragraph" w:styleId="Heading2">
    <w:name w:val="heading 2"/>
    <w:basedOn w:val="HeadingBase"/>
    <w:next w:val="BodyText"/>
    <w:link w:val="Heading2Char"/>
    <w:qFormat/>
    <w:rsid w:val="000460A5"/>
    <w:pPr>
      <w:keepLines/>
      <w:spacing w:before="240" w:after="120"/>
      <w:outlineLvl w:val="1"/>
    </w:pPr>
    <w:rPr>
      <w:sz w:val="28"/>
      <w:szCs w:val="40"/>
    </w:rPr>
  </w:style>
  <w:style w:type="paragraph" w:styleId="Heading3">
    <w:name w:val="heading 3"/>
    <w:basedOn w:val="HeadingBase"/>
    <w:next w:val="BodyText"/>
    <w:link w:val="Heading3Char"/>
    <w:qFormat/>
    <w:rsid w:val="000460A5"/>
    <w:pPr>
      <w:spacing w:before="180" w:after="120"/>
      <w:outlineLvl w:val="2"/>
    </w:pPr>
    <w:rPr>
      <w:spacing w:val="-10"/>
      <w:kern w:val="32"/>
    </w:rPr>
  </w:style>
  <w:style w:type="paragraph" w:styleId="Heading4">
    <w:name w:val="heading 4"/>
    <w:basedOn w:val="HeadingBase"/>
    <w:next w:val="BodyText"/>
    <w:link w:val="Heading4Char"/>
    <w:qFormat/>
    <w:rsid w:val="000460A5"/>
    <w:pPr>
      <w:spacing w:before="160" w:after="120"/>
      <w:outlineLvl w:val="3"/>
    </w:pPr>
    <w:rPr>
      <w:sz w:val="22"/>
    </w:rPr>
  </w:style>
  <w:style w:type="paragraph" w:styleId="Heading5">
    <w:name w:val="heading 5"/>
    <w:basedOn w:val="HeadingBase"/>
    <w:next w:val="Normal"/>
    <w:link w:val="Heading5Char"/>
    <w:qFormat/>
    <w:rsid w:val="000460A5"/>
    <w:pPr>
      <w:spacing w:before="80"/>
      <w:outlineLvl w:val="4"/>
    </w:pPr>
    <w:rPr>
      <w:color w:val="918585"/>
      <w:sz w:val="20"/>
    </w:rPr>
  </w:style>
  <w:style w:type="paragraph" w:styleId="Heading6">
    <w:name w:val="heading 6"/>
    <w:basedOn w:val="HeadingBase"/>
    <w:next w:val="Normal"/>
    <w:link w:val="Heading6Char"/>
    <w:qFormat/>
    <w:rsid w:val="000460A5"/>
    <w:pPr>
      <w:spacing w:before="60"/>
      <w:outlineLvl w:val="5"/>
    </w:pPr>
    <w:rPr>
      <w:color w:val="918585"/>
      <w:sz w:val="20"/>
    </w:rPr>
  </w:style>
  <w:style w:type="paragraph" w:styleId="Heading7">
    <w:name w:val="heading 7"/>
    <w:basedOn w:val="Normal"/>
    <w:next w:val="Normal"/>
    <w:link w:val="Heading7Char"/>
    <w:qFormat/>
    <w:rsid w:val="000460A5"/>
    <w:pPr>
      <w:ind w:left="720"/>
      <w:outlineLvl w:val="6"/>
    </w:pPr>
    <w:rPr>
      <w:i/>
    </w:rPr>
  </w:style>
  <w:style w:type="paragraph" w:styleId="Heading8">
    <w:name w:val="heading 8"/>
    <w:basedOn w:val="Normal"/>
    <w:next w:val="Normal"/>
    <w:link w:val="Heading8Char"/>
    <w:qFormat/>
    <w:rsid w:val="000460A5"/>
    <w:pPr>
      <w:ind w:left="720"/>
      <w:outlineLvl w:val="7"/>
    </w:pPr>
    <w:rPr>
      <w:i/>
    </w:rPr>
  </w:style>
  <w:style w:type="paragraph" w:styleId="Heading9">
    <w:name w:val="heading 9"/>
    <w:basedOn w:val="Normal"/>
    <w:next w:val="Normal"/>
    <w:link w:val="Heading9Char"/>
    <w:qFormat/>
    <w:rsid w:val="000460A5"/>
    <w:pPr>
      <w:ind w:left="720"/>
      <w:outlineLvl w:val="8"/>
    </w:pPr>
    <w:rPr>
      <w:i/>
    </w:rPr>
  </w:style>
  <w:style w:type="character" w:default="1" w:styleId="DefaultParagraphFont">
    <w:name w:val="Default Paragraph Font"/>
    <w:uiPriority w:val="1"/>
    <w:unhideWhenUsed/>
    <w:rsid w:val="00046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0A5"/>
  </w:style>
  <w:style w:type="character" w:customStyle="1" w:styleId="Heading1Char">
    <w:name w:val="Heading 1 Char"/>
    <w:basedOn w:val="DefaultParagraphFont"/>
    <w:link w:val="Heading1"/>
    <w:rsid w:val="000460A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460A5"/>
    <w:rPr>
      <w:rFonts w:ascii="Times New Roman" w:eastAsia="Times New Roman" w:hAnsi="Times New Roman" w:cs="Times New Roman"/>
      <w:b/>
      <w:szCs w:val="20"/>
      <w:lang w:eastAsia="en-US"/>
    </w:rPr>
  </w:style>
  <w:style w:type="paragraph" w:styleId="BodyText">
    <w:name w:val="Body Text"/>
    <w:basedOn w:val="Normal"/>
    <w:link w:val="BodyTextChar"/>
    <w:rsid w:val="00046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0A5"/>
    <w:rPr>
      <w:rFonts w:ascii="Times New Roman" w:eastAsia="Times New Roman" w:hAnsi="Times New Roman" w:cs="Times New Roman"/>
      <w:sz w:val="24"/>
      <w:lang w:eastAsia="en-US"/>
    </w:rPr>
  </w:style>
  <w:style w:type="paragraph" w:styleId="ListBullet">
    <w:name w:val="List Bullet"/>
    <w:basedOn w:val="List"/>
    <w:rsid w:val="000460A5"/>
    <w:pPr>
      <w:numPr>
        <w:numId w:val="13"/>
      </w:numPr>
      <w:tabs>
        <w:tab w:val="clear" w:pos="340"/>
      </w:tabs>
      <w:spacing w:before="40" w:after="40"/>
    </w:pPr>
  </w:style>
  <w:style w:type="paragraph" w:styleId="ListBullet2">
    <w:name w:val="List Bullet 2"/>
    <w:basedOn w:val="List2"/>
    <w:rsid w:val="000460A5"/>
    <w:pPr>
      <w:numPr>
        <w:numId w:val="14"/>
      </w:numPr>
      <w:tabs>
        <w:tab w:val="clear" w:pos="680"/>
      </w:tabs>
    </w:pPr>
  </w:style>
  <w:style w:type="paragraph" w:customStyle="1" w:styleId="SuperHeading">
    <w:name w:val="SuperHeading"/>
    <w:basedOn w:val="Normal"/>
    <w:rsid w:val="000460A5"/>
    <w:pPr>
      <w:spacing w:before="240" w:after="120"/>
      <w:outlineLvl w:val="0"/>
    </w:pPr>
    <w:rPr>
      <w:rFonts w:ascii="Times New Roman" w:hAnsi="Times New Roman"/>
      <w:b/>
      <w:sz w:val="32"/>
    </w:rPr>
  </w:style>
  <w:style w:type="paragraph" w:customStyle="1" w:styleId="AllowPageBreak">
    <w:name w:val="AllowPageBreak"/>
    <w:rsid w:val="000460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60A5"/>
    <w:pPr>
      <w:numPr>
        <w:numId w:val="3"/>
      </w:numPr>
      <w:tabs>
        <w:tab w:val="clear" w:pos="1021"/>
      </w:tabs>
      <w:ind w:left="1037" w:hanging="357"/>
    </w:pPr>
  </w:style>
  <w:style w:type="character" w:customStyle="1" w:styleId="Heading2Char">
    <w:name w:val="Heading 2 Char"/>
    <w:basedOn w:val="DefaultParagraphFont"/>
    <w:link w:val="Heading2"/>
    <w:rsid w:val="00046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0A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46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0A5"/>
    <w:rPr>
      <w:rFonts w:ascii="Courier New" w:eastAsia="Times New Roman" w:hAnsi="Courier New" w:cs="Times New Roman"/>
      <w:i/>
      <w:szCs w:val="20"/>
      <w:lang w:eastAsia="en-US"/>
    </w:rPr>
  </w:style>
  <w:style w:type="paragraph" w:customStyle="1" w:styleId="HeadingBase">
    <w:name w:val="Heading Base"/>
    <w:rsid w:val="00046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0A5"/>
    <w:pPr>
      <w:tabs>
        <w:tab w:val="right" w:leader="dot" w:pos="9072"/>
      </w:tabs>
      <w:ind w:left="567"/>
    </w:pPr>
    <w:rPr>
      <w:szCs w:val="22"/>
    </w:rPr>
  </w:style>
  <w:style w:type="paragraph" w:customStyle="1" w:styleId="TOCBase">
    <w:name w:val="TOC Base"/>
    <w:rsid w:val="00046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0A5"/>
    <w:pPr>
      <w:tabs>
        <w:tab w:val="right" w:leader="dot" w:pos="9072"/>
      </w:tabs>
      <w:spacing w:before="40" w:after="40"/>
      <w:ind w:left="284"/>
    </w:pPr>
    <w:rPr>
      <w:rFonts w:ascii="Times New Roman" w:hAnsi="Times New Roman"/>
    </w:rPr>
  </w:style>
  <w:style w:type="paragraph" w:styleId="TOC1">
    <w:name w:val="toc 1"/>
    <w:basedOn w:val="TOCBase"/>
    <w:next w:val="Normal"/>
    <w:rsid w:val="00046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0A5"/>
    <w:rPr>
      <w:rFonts w:ascii="Times New Roman" w:eastAsia="Times New Roman" w:hAnsi="Times New Roman" w:cs="Times New Roman"/>
      <w:sz w:val="16"/>
      <w:lang w:eastAsia="en-US"/>
    </w:rPr>
  </w:style>
  <w:style w:type="paragraph" w:styleId="Title">
    <w:name w:val="Title"/>
    <w:basedOn w:val="HeadingBase"/>
    <w:link w:val="TitleChar"/>
    <w:qFormat/>
    <w:rsid w:val="000460A5"/>
    <w:pPr>
      <w:spacing w:before="5040"/>
      <w:jc w:val="center"/>
    </w:pPr>
    <w:rPr>
      <w:sz w:val="48"/>
      <w:szCs w:val="72"/>
      <w:lang w:val="en-US"/>
    </w:rPr>
  </w:style>
  <w:style w:type="character" w:customStyle="1" w:styleId="TitleChar">
    <w:name w:val="Title Char"/>
    <w:basedOn w:val="DefaultParagraphFont"/>
    <w:link w:val="Title"/>
    <w:rsid w:val="00046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0A5"/>
    <w:pPr>
      <w:tabs>
        <w:tab w:val="left" w:pos="3600"/>
        <w:tab w:val="left" w:pos="3958"/>
      </w:tabs>
    </w:pPr>
  </w:style>
  <w:style w:type="paragraph" w:styleId="List">
    <w:name w:val="List"/>
    <w:basedOn w:val="BodyText"/>
    <w:next w:val="BodyText"/>
    <w:rsid w:val="000460A5"/>
    <w:pPr>
      <w:tabs>
        <w:tab w:val="left" w:pos="340"/>
      </w:tabs>
      <w:spacing w:before="60" w:after="60"/>
      <w:ind w:left="340" w:hanging="340"/>
    </w:pPr>
  </w:style>
  <w:style w:type="paragraph" w:customStyle="1" w:styleId="Note">
    <w:name w:val="Note"/>
    <w:basedOn w:val="BodyText"/>
    <w:rsid w:val="000460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60A5"/>
    <w:rPr>
      <w:b/>
      <w:spacing w:val="0"/>
    </w:rPr>
  </w:style>
  <w:style w:type="paragraph" w:customStyle="1" w:styleId="SuperTitle">
    <w:name w:val="SuperTitle"/>
    <w:basedOn w:val="Title"/>
    <w:rsid w:val="000460A5"/>
    <w:pPr>
      <w:framePr w:wrap="auto" w:hAnchor="text" w:y="6049"/>
    </w:pPr>
    <w:rPr>
      <w:color w:val="000000"/>
      <w:sz w:val="40"/>
    </w:rPr>
  </w:style>
  <w:style w:type="paragraph" w:customStyle="1" w:styleId="TOCTitle">
    <w:name w:val="TOCTitle"/>
    <w:basedOn w:val="Heading1"/>
    <w:rsid w:val="000460A5"/>
    <w:pPr>
      <w:spacing w:after="240"/>
      <w:jc w:val="center"/>
      <w:outlineLvl w:val="9"/>
    </w:pPr>
    <w:rPr>
      <w:caps/>
    </w:rPr>
  </w:style>
  <w:style w:type="paragraph" w:customStyle="1" w:styleId="Version">
    <w:name w:val="Version"/>
    <w:rsid w:val="00046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0A5"/>
    <w:pPr>
      <w:keepNext w:val="0"/>
      <w:tabs>
        <w:tab w:val="right" w:pos="4176"/>
      </w:tabs>
      <w:ind w:left="198" w:hanging="198"/>
    </w:pPr>
    <w:rPr>
      <w:rFonts w:ascii="Garamond" w:hAnsi="Garamond"/>
    </w:rPr>
  </w:style>
  <w:style w:type="paragraph" w:styleId="IndexHeading">
    <w:name w:val="index heading"/>
    <w:basedOn w:val="Normal"/>
    <w:next w:val="Index1"/>
    <w:semiHidden/>
    <w:rsid w:val="000460A5"/>
    <w:pPr>
      <w:spacing w:before="120" w:after="120"/>
    </w:pPr>
    <w:rPr>
      <w:rFonts w:ascii="Arial" w:hAnsi="Arial"/>
      <w:b/>
      <w:color w:val="918585"/>
      <w:sz w:val="24"/>
    </w:rPr>
  </w:style>
  <w:style w:type="paragraph" w:styleId="Header">
    <w:name w:val="header"/>
    <w:basedOn w:val="Normal"/>
    <w:link w:val="HeaderChar"/>
    <w:rsid w:val="00046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0A5"/>
    <w:rPr>
      <w:rFonts w:ascii="Times New Roman" w:eastAsia="Times New Roman" w:hAnsi="Times New Roman" w:cs="Times New Roman"/>
      <w:sz w:val="16"/>
      <w:szCs w:val="20"/>
      <w:lang w:val="en-GB" w:eastAsia="en-US"/>
    </w:rPr>
  </w:style>
  <w:style w:type="paragraph" w:customStyle="1" w:styleId="Chapter">
    <w:name w:val="Chapter"/>
    <w:basedOn w:val="Normal"/>
    <w:rsid w:val="000460A5"/>
    <w:pPr>
      <w:spacing w:before="240"/>
    </w:pPr>
    <w:rPr>
      <w:rFonts w:ascii="Times New Roman" w:hAnsi="Times New Roman"/>
      <w:smallCaps/>
      <w:spacing w:val="80"/>
      <w:sz w:val="28"/>
    </w:rPr>
  </w:style>
  <w:style w:type="paragraph" w:customStyle="1" w:styleId="InChapter">
    <w:name w:val="InChapter"/>
    <w:basedOn w:val="Heading3"/>
    <w:rsid w:val="000460A5"/>
    <w:pPr>
      <w:spacing w:after="240"/>
      <w:outlineLvl w:val="9"/>
    </w:pPr>
    <w:rPr>
      <w:noProof/>
    </w:rPr>
  </w:style>
  <w:style w:type="paragraph" w:styleId="Index2">
    <w:name w:val="index 2"/>
    <w:basedOn w:val="Normal"/>
    <w:next w:val="Normal"/>
    <w:semiHidden/>
    <w:rsid w:val="000460A5"/>
    <w:pPr>
      <w:tabs>
        <w:tab w:val="right" w:pos="4176"/>
      </w:tabs>
      <w:ind w:left="568" w:hanging="284"/>
    </w:pPr>
    <w:rPr>
      <w:rFonts w:ascii="Garamond" w:hAnsi="Garamond"/>
    </w:rPr>
  </w:style>
  <w:style w:type="paragraph" w:customStyle="1" w:styleId="Byline">
    <w:name w:val="Byline"/>
    <w:rsid w:val="00046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0A5"/>
    <w:pPr>
      <w:tabs>
        <w:tab w:val="clear" w:pos="3600"/>
        <w:tab w:val="clear" w:pos="3958"/>
      </w:tabs>
      <w:jc w:val="right"/>
    </w:pPr>
  </w:style>
  <w:style w:type="character" w:styleId="Emphasis">
    <w:name w:val="Emphasis"/>
    <w:basedOn w:val="DefaultParagraphFont"/>
    <w:qFormat/>
    <w:rsid w:val="000460A5"/>
    <w:rPr>
      <w:i/>
    </w:rPr>
  </w:style>
  <w:style w:type="paragraph" w:styleId="Caption">
    <w:name w:val="caption"/>
    <w:basedOn w:val="BodyText"/>
    <w:next w:val="Normal"/>
    <w:qFormat/>
    <w:rsid w:val="000460A5"/>
    <w:pPr>
      <w:framePr w:w="2268" w:hSpace="181" w:vSpace="181" w:wrap="around" w:vAnchor="text" w:hAnchor="page" w:x="1135" w:y="285" w:anchorLock="1"/>
    </w:pPr>
    <w:rPr>
      <w:i/>
    </w:rPr>
  </w:style>
  <w:style w:type="paragraph" w:customStyle="1" w:styleId="MiniTOCTitle">
    <w:name w:val="MiniTOCTitle"/>
    <w:basedOn w:val="Heading4"/>
    <w:rsid w:val="000460A5"/>
    <w:pPr>
      <w:spacing w:before="240"/>
      <w:outlineLvl w:val="9"/>
    </w:pPr>
    <w:rPr>
      <w:noProof/>
      <w:sz w:val="24"/>
    </w:rPr>
  </w:style>
  <w:style w:type="paragraph" w:customStyle="1" w:styleId="MiniTOCItem">
    <w:name w:val="MiniTOCItem"/>
    <w:basedOn w:val="ListBullet"/>
    <w:rsid w:val="000460A5"/>
    <w:pPr>
      <w:numPr>
        <w:numId w:val="0"/>
      </w:numPr>
      <w:tabs>
        <w:tab w:val="right" w:leader="dot" w:pos="6521"/>
      </w:tabs>
      <w:spacing w:before="0" w:after="0"/>
    </w:pPr>
  </w:style>
  <w:style w:type="paragraph" w:customStyle="1" w:styleId="TOFTitle">
    <w:name w:val="TOFTitle"/>
    <w:basedOn w:val="TOCTitle"/>
    <w:rsid w:val="000460A5"/>
  </w:style>
  <w:style w:type="paragraph" w:styleId="TableofFigures">
    <w:name w:val="table of figures"/>
    <w:basedOn w:val="Normal"/>
    <w:next w:val="Normal"/>
    <w:semiHidden/>
    <w:rsid w:val="000460A5"/>
    <w:pPr>
      <w:tabs>
        <w:tab w:val="right" w:leader="dot" w:pos="9072"/>
      </w:tabs>
      <w:ind w:left="970" w:hanging="403"/>
    </w:pPr>
    <w:rPr>
      <w:rFonts w:ascii="Times New Roman" w:hAnsi="Times New Roman"/>
      <w:b/>
    </w:rPr>
  </w:style>
  <w:style w:type="paragraph" w:styleId="ListNumber">
    <w:name w:val="List Number"/>
    <w:basedOn w:val="List"/>
    <w:rsid w:val="000460A5"/>
    <w:pPr>
      <w:numPr>
        <w:numId w:val="16"/>
      </w:numPr>
      <w:tabs>
        <w:tab w:val="clear" w:pos="340"/>
      </w:tabs>
    </w:pPr>
  </w:style>
  <w:style w:type="character" w:customStyle="1" w:styleId="WingdingSymbols">
    <w:name w:val="Wingding Symbols"/>
    <w:rsid w:val="000460A5"/>
    <w:rPr>
      <w:rFonts w:ascii="Wingdings" w:hAnsi="Wingdings"/>
    </w:rPr>
  </w:style>
  <w:style w:type="paragraph" w:customStyle="1" w:styleId="TableHeading">
    <w:name w:val="Table Heading"/>
    <w:basedOn w:val="HeadingBase"/>
    <w:rsid w:val="000460A5"/>
    <w:pPr>
      <w:keepLines/>
      <w:pBdr>
        <w:bottom w:val="single" w:sz="6" w:space="1" w:color="918585"/>
      </w:pBdr>
      <w:spacing w:before="240"/>
    </w:pPr>
  </w:style>
  <w:style w:type="character" w:customStyle="1" w:styleId="HotSpot">
    <w:name w:val="HotSpot"/>
    <w:rsid w:val="000460A5"/>
    <w:rPr>
      <w:color w:val="0033CC"/>
      <w:u w:val="none"/>
    </w:rPr>
  </w:style>
  <w:style w:type="paragraph" w:customStyle="1" w:styleId="BodyTextRight">
    <w:name w:val="Body Text Right"/>
    <w:basedOn w:val="BodyText"/>
    <w:rsid w:val="000460A5"/>
    <w:pPr>
      <w:spacing w:before="0" w:after="0"/>
      <w:jc w:val="right"/>
    </w:pPr>
  </w:style>
  <w:style w:type="paragraph" w:styleId="Index3">
    <w:name w:val="index 3"/>
    <w:basedOn w:val="ListNumber2"/>
    <w:next w:val="Normal"/>
    <w:semiHidden/>
    <w:rsid w:val="000460A5"/>
    <w:pPr>
      <w:numPr>
        <w:numId w:val="0"/>
      </w:numPr>
      <w:tabs>
        <w:tab w:val="right" w:leader="dot" w:pos="4176"/>
      </w:tabs>
    </w:pPr>
  </w:style>
  <w:style w:type="paragraph" w:styleId="ListNumber2">
    <w:name w:val="List Number 2"/>
    <w:basedOn w:val="List2"/>
    <w:rsid w:val="000460A5"/>
    <w:pPr>
      <w:numPr>
        <w:numId w:val="11"/>
      </w:numPr>
      <w:tabs>
        <w:tab w:val="clear" w:pos="1060"/>
      </w:tabs>
    </w:pPr>
  </w:style>
  <w:style w:type="paragraph" w:customStyle="1" w:styleId="MarginNote">
    <w:name w:val="Margin Note"/>
    <w:basedOn w:val="BodyText"/>
    <w:rsid w:val="00046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0A5"/>
    <w:rPr>
      <w:sz w:val="32"/>
    </w:rPr>
  </w:style>
  <w:style w:type="paragraph" w:customStyle="1" w:styleId="HeadingProcedure">
    <w:name w:val="Heading Procedure"/>
    <w:basedOn w:val="HeadingBase"/>
    <w:next w:val="Normal"/>
    <w:rsid w:val="000460A5"/>
    <w:pPr>
      <w:tabs>
        <w:tab w:val="left" w:pos="0"/>
      </w:tabs>
      <w:spacing w:before="120" w:after="60"/>
    </w:pPr>
    <w:rPr>
      <w:i/>
      <w:color w:val="918585"/>
      <w:sz w:val="22"/>
    </w:rPr>
  </w:style>
  <w:style w:type="paragraph" w:customStyle="1" w:styleId="TableBodyText">
    <w:name w:val="Table Body Text"/>
    <w:basedOn w:val="BodyText"/>
    <w:rsid w:val="000460A5"/>
    <w:pPr>
      <w:spacing w:before="60" w:after="60"/>
    </w:pPr>
  </w:style>
  <w:style w:type="paragraph" w:styleId="ListContinue">
    <w:name w:val="List Continue"/>
    <w:basedOn w:val="List"/>
    <w:rsid w:val="000460A5"/>
    <w:pPr>
      <w:ind w:firstLine="0"/>
    </w:pPr>
  </w:style>
  <w:style w:type="paragraph" w:customStyle="1" w:styleId="ListNote">
    <w:name w:val="List Note"/>
    <w:basedOn w:val="List"/>
    <w:rsid w:val="000460A5"/>
    <w:pPr>
      <w:pBdr>
        <w:top w:val="single" w:sz="6" w:space="2" w:color="918585"/>
        <w:bottom w:val="single" w:sz="6" w:space="2" w:color="918585"/>
      </w:pBdr>
      <w:tabs>
        <w:tab w:val="left" w:pos="1021"/>
      </w:tabs>
      <w:ind w:firstLine="0"/>
    </w:pPr>
  </w:style>
  <w:style w:type="paragraph" w:customStyle="1" w:styleId="Warning">
    <w:name w:val="Warning"/>
    <w:basedOn w:val="BodyText"/>
    <w:rsid w:val="000460A5"/>
    <w:pPr>
      <w:shd w:val="clear" w:color="auto" w:fill="D9D9D9"/>
      <w:tabs>
        <w:tab w:val="left" w:pos="992"/>
      </w:tabs>
      <w:ind w:left="119" w:right="119"/>
    </w:pPr>
    <w:rPr>
      <w:sz w:val="20"/>
    </w:rPr>
  </w:style>
  <w:style w:type="paragraph" w:customStyle="1" w:styleId="MarginIcons">
    <w:name w:val="Margin Icons"/>
    <w:basedOn w:val="BodyText"/>
    <w:rsid w:val="00046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0A5"/>
    <w:rPr>
      <w:rFonts w:ascii="Courier New" w:hAnsi="Courier New"/>
    </w:rPr>
  </w:style>
  <w:style w:type="paragraph" w:customStyle="1" w:styleId="NoteBullet">
    <w:name w:val="Note Bullet"/>
    <w:basedOn w:val="Note"/>
    <w:rsid w:val="000460A5"/>
    <w:pPr>
      <w:tabs>
        <w:tab w:val="clear" w:pos="680"/>
      </w:tabs>
      <w:spacing w:before="60" w:after="60"/>
    </w:pPr>
  </w:style>
  <w:style w:type="paragraph" w:customStyle="1" w:styleId="SubHeading2">
    <w:name w:val="SubHeading2"/>
    <w:basedOn w:val="HeadingBase"/>
    <w:rsid w:val="000460A5"/>
    <w:pPr>
      <w:spacing w:before="240" w:after="60"/>
    </w:pPr>
    <w:rPr>
      <w:sz w:val="20"/>
    </w:rPr>
  </w:style>
  <w:style w:type="paragraph" w:customStyle="1" w:styleId="SubHeading1">
    <w:name w:val="SubHeading1"/>
    <w:basedOn w:val="HeadingBase"/>
    <w:rsid w:val="000460A5"/>
    <w:pPr>
      <w:spacing w:before="240" w:after="60"/>
    </w:pPr>
    <w:rPr>
      <w:color w:val="918585"/>
      <w:sz w:val="22"/>
    </w:rPr>
  </w:style>
  <w:style w:type="paragraph" w:customStyle="1" w:styleId="SideHeading">
    <w:name w:val="Side Heading"/>
    <w:basedOn w:val="HeadingBase"/>
    <w:rsid w:val="00046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0A5"/>
    <w:pPr>
      <w:numPr>
        <w:numId w:val="12"/>
      </w:numPr>
    </w:pPr>
  </w:style>
  <w:style w:type="paragraph" w:styleId="PlainText">
    <w:name w:val="Plain Text"/>
    <w:basedOn w:val="Normal"/>
    <w:link w:val="PlainTextChar"/>
    <w:rsid w:val="000460A5"/>
    <w:rPr>
      <w:sz w:val="20"/>
    </w:rPr>
  </w:style>
  <w:style w:type="character" w:customStyle="1" w:styleId="PlainTextChar">
    <w:name w:val="Plain Text Char"/>
    <w:basedOn w:val="DefaultParagraphFont"/>
    <w:link w:val="PlainText"/>
    <w:rsid w:val="000460A5"/>
    <w:rPr>
      <w:rFonts w:ascii="Courier New" w:eastAsia="Times New Roman" w:hAnsi="Courier New" w:cs="Times New Roman"/>
      <w:sz w:val="20"/>
      <w:szCs w:val="20"/>
      <w:lang w:eastAsia="en-US"/>
    </w:rPr>
  </w:style>
  <w:style w:type="character" w:customStyle="1" w:styleId="MenuOption">
    <w:name w:val="Menu Option"/>
    <w:basedOn w:val="DefaultParagraphFont"/>
    <w:rsid w:val="000460A5"/>
    <w:rPr>
      <w:b/>
      <w:smallCaps/>
    </w:rPr>
  </w:style>
  <w:style w:type="paragraph" w:customStyle="1" w:styleId="TableListNumber">
    <w:name w:val="Table List Number"/>
    <w:basedOn w:val="ListNumber"/>
    <w:rsid w:val="000460A5"/>
    <w:pPr>
      <w:numPr>
        <w:numId w:val="0"/>
      </w:numPr>
    </w:pPr>
  </w:style>
  <w:style w:type="paragraph" w:styleId="TOC4">
    <w:name w:val="toc 4"/>
    <w:basedOn w:val="TOCBase"/>
    <w:next w:val="Normal"/>
    <w:semiHidden/>
    <w:rsid w:val="000460A5"/>
    <w:pPr>
      <w:tabs>
        <w:tab w:val="right" w:leader="dot" w:pos="9071"/>
      </w:tabs>
      <w:ind w:left="1701"/>
    </w:pPr>
  </w:style>
  <w:style w:type="paragraph" w:customStyle="1" w:styleId="ListAlpha">
    <w:name w:val="List Alpha"/>
    <w:basedOn w:val="List"/>
    <w:rsid w:val="000460A5"/>
    <w:pPr>
      <w:numPr>
        <w:numId w:val="10"/>
      </w:numPr>
    </w:pPr>
  </w:style>
  <w:style w:type="paragraph" w:customStyle="1" w:styleId="ListAlpha2">
    <w:name w:val="List Alpha 2"/>
    <w:basedOn w:val="List2"/>
    <w:rsid w:val="000460A5"/>
    <w:pPr>
      <w:numPr>
        <w:numId w:val="9"/>
      </w:numPr>
    </w:pPr>
  </w:style>
  <w:style w:type="paragraph" w:styleId="List2">
    <w:name w:val="List 2"/>
    <w:basedOn w:val="BodyText"/>
    <w:rsid w:val="000460A5"/>
    <w:pPr>
      <w:tabs>
        <w:tab w:val="left" w:pos="680"/>
      </w:tabs>
      <w:spacing w:before="60" w:after="60"/>
      <w:ind w:left="680" w:hanging="340"/>
    </w:pPr>
  </w:style>
  <w:style w:type="paragraph" w:styleId="List3">
    <w:name w:val="List 3"/>
    <w:basedOn w:val="BodyText"/>
    <w:rsid w:val="000460A5"/>
    <w:pPr>
      <w:tabs>
        <w:tab w:val="left" w:pos="1021"/>
      </w:tabs>
      <w:spacing w:before="60" w:after="60"/>
      <w:ind w:left="1020" w:hanging="340"/>
    </w:pPr>
  </w:style>
  <w:style w:type="paragraph" w:styleId="List4">
    <w:name w:val="List 4"/>
    <w:basedOn w:val="BodyText"/>
    <w:rsid w:val="000460A5"/>
    <w:pPr>
      <w:tabs>
        <w:tab w:val="left" w:pos="1361"/>
      </w:tabs>
      <w:spacing w:before="60" w:after="60"/>
      <w:ind w:left="1361" w:hanging="340"/>
    </w:pPr>
  </w:style>
  <w:style w:type="paragraph" w:styleId="List5">
    <w:name w:val="List 5"/>
    <w:basedOn w:val="BodyText"/>
    <w:rsid w:val="000460A5"/>
    <w:pPr>
      <w:tabs>
        <w:tab w:val="left" w:pos="1701"/>
      </w:tabs>
      <w:spacing w:before="60" w:after="60"/>
      <w:ind w:left="1701" w:hanging="340"/>
    </w:pPr>
  </w:style>
  <w:style w:type="paragraph" w:styleId="ListBullet4">
    <w:name w:val="List Bullet 4"/>
    <w:basedOn w:val="List4"/>
    <w:rsid w:val="000460A5"/>
    <w:pPr>
      <w:numPr>
        <w:numId w:val="4"/>
      </w:numPr>
      <w:tabs>
        <w:tab w:val="clear" w:pos="1361"/>
      </w:tabs>
    </w:pPr>
  </w:style>
  <w:style w:type="paragraph" w:styleId="ListBullet5">
    <w:name w:val="List Bullet 5"/>
    <w:basedOn w:val="List5"/>
    <w:rsid w:val="000460A5"/>
    <w:pPr>
      <w:numPr>
        <w:numId w:val="5"/>
      </w:numPr>
    </w:pPr>
  </w:style>
  <w:style w:type="paragraph" w:styleId="ListContinue2">
    <w:name w:val="List Continue 2"/>
    <w:basedOn w:val="List2"/>
    <w:rsid w:val="000460A5"/>
    <w:pPr>
      <w:ind w:firstLine="0"/>
    </w:pPr>
  </w:style>
  <w:style w:type="paragraph" w:styleId="ListContinue3">
    <w:name w:val="List Continue 3"/>
    <w:basedOn w:val="List3"/>
    <w:rsid w:val="000460A5"/>
    <w:pPr>
      <w:ind w:left="1021" w:firstLine="0"/>
    </w:pPr>
  </w:style>
  <w:style w:type="paragraph" w:styleId="ListContinue4">
    <w:name w:val="List Continue 4"/>
    <w:basedOn w:val="List4"/>
    <w:rsid w:val="000460A5"/>
    <w:pPr>
      <w:ind w:firstLine="0"/>
    </w:pPr>
  </w:style>
  <w:style w:type="paragraph" w:styleId="ListContinue5">
    <w:name w:val="List Continue 5"/>
    <w:basedOn w:val="List5"/>
    <w:rsid w:val="000460A5"/>
    <w:pPr>
      <w:ind w:firstLine="0"/>
    </w:pPr>
  </w:style>
  <w:style w:type="paragraph" w:styleId="ListNumber3">
    <w:name w:val="List Number 3"/>
    <w:basedOn w:val="List3"/>
    <w:rsid w:val="000460A5"/>
    <w:pPr>
      <w:numPr>
        <w:numId w:val="6"/>
      </w:numPr>
    </w:pPr>
  </w:style>
  <w:style w:type="paragraph" w:styleId="ListNumber4">
    <w:name w:val="List Number 4"/>
    <w:basedOn w:val="List4"/>
    <w:rsid w:val="000460A5"/>
    <w:pPr>
      <w:numPr>
        <w:numId w:val="7"/>
      </w:numPr>
    </w:pPr>
  </w:style>
  <w:style w:type="paragraph" w:styleId="ListNumber5">
    <w:name w:val="List Number 5"/>
    <w:basedOn w:val="List5"/>
    <w:rsid w:val="000460A5"/>
    <w:pPr>
      <w:numPr>
        <w:numId w:val="8"/>
      </w:numPr>
    </w:pPr>
  </w:style>
  <w:style w:type="paragraph" w:styleId="BlockText">
    <w:name w:val="Block Text"/>
    <w:basedOn w:val="Normal"/>
    <w:rsid w:val="000460A5"/>
    <w:pPr>
      <w:spacing w:after="120"/>
      <w:ind w:left="1440" w:right="1440"/>
    </w:pPr>
  </w:style>
  <w:style w:type="character" w:customStyle="1" w:styleId="Subscript">
    <w:name w:val="Subscript"/>
    <w:basedOn w:val="DefaultParagraphFont"/>
    <w:rsid w:val="000460A5"/>
    <w:rPr>
      <w:sz w:val="16"/>
      <w:vertAlign w:val="subscript"/>
    </w:rPr>
  </w:style>
  <w:style w:type="character" w:customStyle="1" w:styleId="Superscript">
    <w:name w:val="Superscript"/>
    <w:basedOn w:val="DefaultParagraphFont"/>
    <w:rsid w:val="000460A5"/>
    <w:rPr>
      <w:sz w:val="16"/>
      <w:vertAlign w:val="superscript"/>
    </w:rPr>
  </w:style>
  <w:style w:type="character" w:customStyle="1" w:styleId="Symbols">
    <w:name w:val="Symbols"/>
    <w:basedOn w:val="DefaultParagraphFont"/>
    <w:rsid w:val="000460A5"/>
    <w:rPr>
      <w:rFonts w:ascii="Symbol" w:hAnsi="Symbol"/>
    </w:rPr>
  </w:style>
  <w:style w:type="character" w:customStyle="1" w:styleId="MenuOptions">
    <w:name w:val="Menu Options"/>
    <w:basedOn w:val="DefaultParagraphFont"/>
    <w:rsid w:val="000460A5"/>
    <w:rPr>
      <w:rFonts w:ascii="Arial Narrow" w:hAnsi="Arial Narrow"/>
      <w:smallCaps/>
    </w:rPr>
  </w:style>
  <w:style w:type="character" w:customStyle="1" w:styleId="Buttons">
    <w:name w:val="Buttons"/>
    <w:basedOn w:val="DefaultParagraphFont"/>
    <w:rsid w:val="000460A5"/>
    <w:rPr>
      <w:b/>
    </w:rPr>
  </w:style>
  <w:style w:type="character" w:customStyle="1" w:styleId="Underlined">
    <w:name w:val="Underlined"/>
    <w:basedOn w:val="DefaultParagraphFont"/>
    <w:rsid w:val="000460A5"/>
    <w:rPr>
      <w:u w:val="single"/>
    </w:rPr>
  </w:style>
  <w:style w:type="paragraph" w:customStyle="1" w:styleId="TableBodyTextRight">
    <w:name w:val="Table Body Text Right"/>
    <w:basedOn w:val="TableBodyText"/>
    <w:rsid w:val="000460A5"/>
    <w:pPr>
      <w:widowControl w:val="0"/>
      <w:autoSpaceDE w:val="0"/>
      <w:autoSpaceDN w:val="0"/>
      <w:adjustRightInd w:val="0"/>
      <w:jc w:val="right"/>
    </w:pPr>
    <w:rPr>
      <w:rFonts w:cs="Arial"/>
      <w:szCs w:val="18"/>
    </w:rPr>
  </w:style>
  <w:style w:type="paragraph" w:customStyle="1" w:styleId="CopyrightText">
    <w:name w:val="Copyright Text"/>
    <w:basedOn w:val="BodyText"/>
    <w:rsid w:val="000460A5"/>
    <w:rPr>
      <w:sz w:val="18"/>
    </w:rPr>
  </w:style>
  <w:style w:type="paragraph" w:customStyle="1" w:styleId="BodySmallRight">
    <w:name w:val="Body Small Right"/>
    <w:basedOn w:val="BodyTextRight"/>
    <w:rsid w:val="000460A5"/>
    <w:rPr>
      <w:sz w:val="18"/>
      <w:szCs w:val="18"/>
    </w:rPr>
  </w:style>
  <w:style w:type="paragraph" w:customStyle="1" w:styleId="MarginEdition">
    <w:name w:val="Margin Edition"/>
    <w:basedOn w:val="MarginNote"/>
    <w:rsid w:val="000460A5"/>
    <w:pPr>
      <w:spacing w:before="0" w:after="0"/>
    </w:pPr>
    <w:rPr>
      <w:rFonts w:ascii="Times New Roman" w:hAnsi="Times New Roman"/>
      <w:color w:val="999999"/>
    </w:rPr>
  </w:style>
  <w:style w:type="paragraph" w:customStyle="1" w:styleId="Spacer">
    <w:name w:val="Spacer"/>
    <w:basedOn w:val="Normal"/>
    <w:rsid w:val="000460A5"/>
    <w:rPr>
      <w:sz w:val="2"/>
      <w:szCs w:val="2"/>
    </w:rPr>
  </w:style>
  <w:style w:type="character" w:customStyle="1" w:styleId="Small">
    <w:name w:val="Small"/>
    <w:basedOn w:val="DefaultParagraphFont"/>
    <w:rsid w:val="000460A5"/>
    <w:rPr>
      <w:sz w:val="16"/>
    </w:rPr>
  </w:style>
  <w:style w:type="paragraph" w:customStyle="1" w:styleId="WideTable">
    <w:name w:val="Wide Table"/>
    <w:basedOn w:val="Normal"/>
    <w:rsid w:val="000460A5"/>
    <w:pPr>
      <w:ind w:left="-1418"/>
    </w:pPr>
    <w:rPr>
      <w:sz w:val="2"/>
      <w:szCs w:val="2"/>
    </w:rPr>
  </w:style>
  <w:style w:type="character" w:styleId="PageNumber">
    <w:name w:val="page number"/>
    <w:basedOn w:val="DefaultParagraphFont"/>
    <w:rsid w:val="000460A5"/>
  </w:style>
  <w:style w:type="paragraph" w:styleId="Quote">
    <w:name w:val="Quote"/>
    <w:basedOn w:val="Heading1"/>
    <w:link w:val="QuoteChar"/>
    <w:qFormat/>
    <w:rsid w:val="000460A5"/>
    <w:rPr>
      <w:b w:val="0"/>
      <w:sz w:val="72"/>
      <w:szCs w:val="72"/>
      <w:lang w:val="en-NZ"/>
    </w:rPr>
  </w:style>
  <w:style w:type="character" w:customStyle="1" w:styleId="QuoteChar">
    <w:name w:val="Quote Char"/>
    <w:basedOn w:val="DefaultParagraphFont"/>
    <w:link w:val="Quote"/>
    <w:rsid w:val="00046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0A5"/>
    <w:pPr>
      <w:pageBreakBefore/>
    </w:pPr>
  </w:style>
  <w:style w:type="paragraph" w:customStyle="1" w:styleId="Border">
    <w:name w:val="Border"/>
    <w:basedOn w:val="Normal"/>
    <w:qFormat/>
    <w:rsid w:val="00046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0A5"/>
    <w:rPr>
      <w:b/>
      <w:bCs/>
      <w:i/>
      <w:iCs/>
      <w:color w:val="auto"/>
    </w:rPr>
  </w:style>
  <w:style w:type="paragraph" w:styleId="IntenseQuote">
    <w:name w:val="Intense Quote"/>
    <w:basedOn w:val="Normal"/>
    <w:next w:val="Normal"/>
    <w:link w:val="IntenseQuoteChar"/>
    <w:uiPriority w:val="30"/>
    <w:qFormat/>
    <w:rsid w:val="00046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0A5"/>
    <w:rPr>
      <w:smallCaps/>
      <w:color w:val="auto"/>
      <w:u w:val="single"/>
    </w:rPr>
  </w:style>
  <w:style w:type="character" w:styleId="IntenseReference">
    <w:name w:val="Intense Reference"/>
    <w:basedOn w:val="DefaultParagraphFont"/>
    <w:uiPriority w:val="32"/>
    <w:qFormat/>
    <w:rsid w:val="000460A5"/>
    <w:rPr>
      <w:b/>
      <w:bCs/>
      <w:smallCaps/>
      <w:color w:val="auto"/>
      <w:spacing w:val="5"/>
      <w:u w:val="single"/>
    </w:rPr>
  </w:style>
  <w:style w:type="paragraph" w:customStyle="1" w:styleId="2ColumnHeading">
    <w:name w:val="2Column Heading"/>
    <w:basedOn w:val="BodyText"/>
    <w:qFormat/>
    <w:rsid w:val="000460A5"/>
    <w:pPr>
      <w:spacing w:after="60"/>
      <w:ind w:left="-2268"/>
    </w:pPr>
    <w:rPr>
      <w:b/>
    </w:rPr>
  </w:style>
  <w:style w:type="paragraph" w:customStyle="1" w:styleId="Heading1TOC">
    <w:name w:val="Heading1 TOC"/>
    <w:basedOn w:val="Normal"/>
    <w:qFormat/>
    <w:rsid w:val="000460A5"/>
    <w:pPr>
      <w:spacing w:before="240" w:after="120"/>
    </w:pPr>
    <w:rPr>
      <w:rFonts w:ascii="Times New Roman" w:hAnsi="Times New Roman"/>
      <w:b/>
      <w:sz w:val="32"/>
    </w:rPr>
  </w:style>
  <w:style w:type="paragraph" w:customStyle="1" w:styleId="Heading2TOC">
    <w:name w:val="Heading2 TOC"/>
    <w:basedOn w:val="Normal"/>
    <w:qFormat/>
    <w:rsid w:val="000460A5"/>
    <w:pPr>
      <w:spacing w:before="240" w:after="60"/>
    </w:pPr>
    <w:rPr>
      <w:rFonts w:ascii="Times New Roman" w:hAnsi="Times New Roman"/>
      <w:b/>
      <w:sz w:val="28"/>
    </w:rPr>
  </w:style>
  <w:style w:type="character" w:customStyle="1" w:styleId="Underline">
    <w:name w:val="Underline"/>
    <w:basedOn w:val="DefaultParagraphFont"/>
    <w:qFormat/>
    <w:rsid w:val="000460A5"/>
    <w:rPr>
      <w:u w:val="single"/>
    </w:rPr>
  </w:style>
  <w:style w:type="character" w:customStyle="1" w:styleId="BoldandItalics">
    <w:name w:val="Bold and Italics"/>
    <w:qFormat/>
    <w:rsid w:val="000460A5"/>
    <w:rPr>
      <w:b/>
      <w:i/>
      <w:u w:val="none"/>
    </w:rPr>
  </w:style>
  <w:style w:type="paragraph" w:styleId="BalloonText">
    <w:name w:val="Balloon Text"/>
    <w:basedOn w:val="Normal"/>
    <w:link w:val="BalloonTextChar"/>
    <w:rsid w:val="000460A5"/>
    <w:rPr>
      <w:rFonts w:ascii="Tahoma" w:hAnsi="Tahoma" w:cs="Tahoma"/>
      <w:sz w:val="16"/>
      <w:szCs w:val="16"/>
    </w:rPr>
  </w:style>
  <w:style w:type="character" w:customStyle="1" w:styleId="BalloonTextChar">
    <w:name w:val="Balloon Text Char"/>
    <w:basedOn w:val="DefaultParagraphFont"/>
    <w:link w:val="BalloonText"/>
    <w:rsid w:val="00046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0A5"/>
    <w:rPr>
      <w:b/>
      <w:color w:val="660033"/>
      <w:spacing w:val="0"/>
    </w:rPr>
  </w:style>
  <w:style w:type="paragraph" w:customStyle="1" w:styleId="Nameditemlist">
    <w:name w:val="Named item list"/>
    <w:basedOn w:val="BodyText"/>
    <w:qFormat/>
    <w:rsid w:val="000460A5"/>
    <w:pPr>
      <w:tabs>
        <w:tab w:val="left" w:pos="2835"/>
      </w:tabs>
      <w:ind w:left="2835" w:hanging="2835"/>
    </w:pPr>
  </w:style>
  <w:style w:type="paragraph" w:customStyle="1" w:styleId="BodyTextnopadding">
    <w:name w:val="Body Text no padding"/>
    <w:basedOn w:val="BodyText"/>
    <w:qFormat/>
    <w:rsid w:val="000460A5"/>
    <w:pPr>
      <w:spacing w:before="0" w:after="0"/>
    </w:pPr>
  </w:style>
  <w:style w:type="paragraph" w:customStyle="1" w:styleId="BodyTextBold">
    <w:name w:val="Body Text Bold"/>
    <w:basedOn w:val="BodyText"/>
    <w:qFormat/>
    <w:rsid w:val="000460A5"/>
    <w:rPr>
      <w:b/>
    </w:rPr>
  </w:style>
  <w:style w:type="character" w:styleId="Hyperlink">
    <w:name w:val="Hyperlink"/>
    <w:basedOn w:val="DefaultParagraphFont"/>
    <w:uiPriority w:val="99"/>
    <w:unhideWhenUsed/>
    <w:rsid w:val="00F031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1019</Words>
  <Characters>6437</Characters>
  <Application>Microsoft Office Word</Application>
  <DocSecurity>0</DocSecurity>
  <Lines>160</Lines>
  <Paragraphs>108</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RIINHB322D Construct multiple aquifer production bores</dc:title>
  <dc:subject>Approved</dc:subject>
  <dc:creator>PwC’s Skills for Australia</dc:creator>
  <cp:keywords>Release: 2</cp:keywords>
  <dc:description>Review Date: 12 April 2008</dc:description>
  <cp:lastModifiedBy>HSD_TPCMSd.prod</cp:lastModifiedBy>
  <cp:revision>3</cp:revision>
  <dcterms:created xsi:type="dcterms:W3CDTF">2020-07-08T05:59:00Z</dcterms:created>
  <dcterms:modified xsi:type="dcterms:W3CDTF">2020-07-08T05:59:00Z</dcterms:modified>
</cp:coreProperties>
</file>