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BBE" w:rsidP="00EF2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RIINHB320D Construct monitoring bores</w:t>
      </w:r>
      <w:r>
        <w:fldChar w:fldCharType="end"/>
      </w:r>
    </w:p>
    <w:p w:rsidR="00EF2BBE" w:rsidP="00EF2BBE">
      <w:pPr>
        <w:pStyle w:val="Version"/>
        <w:sectPr w:rsidSect="00812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2D02" w:rsidP="00812D02">
      <w:pPr>
        <w:pStyle w:val="SuperHeading"/>
      </w:pPr>
      <w:r w:rsidRPr="00812D02">
        <w:t>Assessment Requirements for RIINHB320D Construct monitoring bores</w:t>
      </w:r>
    </w:p>
    <w:p w:rsidR="00000000" w:rsidRPr="00812D02" w:rsidP="00812D02">
      <w:pPr>
        <w:pStyle w:val="Heading1"/>
      </w:pPr>
      <w:bookmarkStart w:id="1" w:name="O_689853"/>
      <w:bookmarkEnd w:id="1"/>
      <w:r w:rsidRPr="00812D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F2B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D02">
            <w:pPr>
              <w:pStyle w:val="Heading4"/>
              <w:rPr>
                <w:lang w:val="en-NZ"/>
              </w:rPr>
            </w:pPr>
            <w:r w:rsidRPr="00812D0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D02">
            <w:pPr>
              <w:pStyle w:val="Heading4"/>
              <w:rPr>
                <w:lang w:val="en-NZ"/>
              </w:rPr>
            </w:pPr>
            <w:r w:rsidRPr="00812D02">
              <w:t>Comment</w:t>
            </w:r>
          </w:p>
        </w:tc>
      </w:tr>
      <w:tr w:rsidTr="00EF2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This unit replaces RIINHB320A Construct monitoring bores</w:t>
            </w:r>
          </w:p>
        </w:tc>
      </w:tr>
      <w:tr w:rsidTr="00EF2B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D02" w:rsidP="00812D02">
            <w:pPr>
              <w:pStyle w:val="BodyText"/>
            </w:pPr>
            <w:r w:rsidRPr="00812D02">
              <w:t>Required frequency and volume of evidence amended in Performance evidence.</w:t>
            </w:r>
          </w:p>
          <w:p w:rsidR="00000000" w:rsidRPr="00812D02" w:rsidP="00812D02">
            <w:pPr>
              <w:pStyle w:val="BodyText"/>
            </w:pPr>
            <w:r w:rsidRPr="00812D02">
              <w:t>Substantial amendments made in Assessment Conditions field, including: references to Industry Sectors, assessor and subject matter expert experience requirements, how assessment sho</w:t>
            </w:r>
            <w:r w:rsidRPr="00812D02">
              <w:t>uld be conducted and what it should confirm.</w:t>
            </w:r>
          </w:p>
        </w:tc>
      </w:tr>
    </w:tbl>
    <w:p w:rsidR="00000000" w:rsidRPr="00812D02" w:rsidP="00812D02">
      <w:pPr>
        <w:pStyle w:val="BodyText"/>
      </w:pPr>
    </w:p>
    <w:p w:rsidR="00000000" w:rsidRPr="00812D02" w:rsidP="00812D02">
      <w:pPr>
        <w:pStyle w:val="AllowPageBreak"/>
      </w:pPr>
    </w:p>
    <w:p w:rsidR="00000000" w:rsidRPr="00812D02" w:rsidP="00812D02">
      <w:pPr>
        <w:pStyle w:val="Heading1"/>
      </w:pPr>
      <w:bookmarkStart w:id="2" w:name="O_689852"/>
      <w:bookmarkEnd w:id="2"/>
      <w:r w:rsidRPr="00812D02">
        <w:t>Performance Evidence</w:t>
      </w:r>
    </w:p>
    <w:p w:rsidR="00000000" w:rsidRPr="00812D02" w:rsidP="00EF2BBE">
      <w:pPr>
        <w:pStyle w:val="BodyText"/>
      </w:pPr>
      <w:r w:rsidRPr="00812D02">
        <w:t>Evidence is required to be collected that demonstrates a candidate’s competency in this unit. Evidence must be relevant to the roles within this sector’</w:t>
      </w:r>
      <w:r w:rsidRPr="00812D02">
        <w:t>s work operations and satisfy all of the requirements of the performance criteria of this unit and include evidence that the candidate:</w:t>
      </w:r>
    </w:p>
    <w:p w:rsidR="00000000" w:rsidRPr="00812D02" w:rsidP="00812D02">
      <w:pPr>
        <w:pStyle w:val="ListBullet2"/>
      </w:pPr>
      <w:r w:rsidRPr="00812D02">
        <w:t>locates and applies relevant documentation, policies and procedures</w:t>
      </w:r>
    </w:p>
    <w:p w:rsidR="00000000" w:rsidRPr="00812D02" w:rsidP="00812D02">
      <w:pPr>
        <w:pStyle w:val="ListBullet2"/>
      </w:pPr>
      <w:r w:rsidRPr="00812D02">
        <w:t>implements the requirements, procedures and techniq</w:t>
      </w:r>
      <w:r w:rsidRPr="00812D02">
        <w:t>ues for the safe, effective and efficient completion of construction of monitoring bore including:</w:t>
      </w:r>
    </w:p>
    <w:p w:rsidR="00000000" w:rsidRPr="00812D02" w:rsidP="00812D02">
      <w:pPr>
        <w:pStyle w:val="ListBullet3"/>
      </w:pPr>
      <w:r w:rsidRPr="00812D02">
        <w:t>reading interpreting work instructions</w:t>
      </w:r>
    </w:p>
    <w:p w:rsidR="00000000" w:rsidRPr="00812D02" w:rsidP="00812D02">
      <w:pPr>
        <w:pStyle w:val="ListBullet3"/>
      </w:pPr>
      <w:r w:rsidRPr="00812D02">
        <w:t>interpreting geological and survey data</w:t>
      </w:r>
    </w:p>
    <w:p w:rsidR="00000000" w:rsidRPr="00812D02" w:rsidP="00812D02">
      <w:pPr>
        <w:pStyle w:val="ListBullet3"/>
      </w:pPr>
      <w:r w:rsidRPr="00812D02">
        <w:t xml:space="preserve">carrying out mechanical and manual handling </w:t>
      </w:r>
    </w:p>
    <w:p w:rsidR="00000000" w:rsidRPr="00812D02" w:rsidP="00812D02">
      <w:pPr>
        <w:pStyle w:val="ListBullet3"/>
      </w:pPr>
      <w:r w:rsidRPr="00812D02">
        <w:t>cementing and grouting</w:t>
      </w:r>
    </w:p>
    <w:p w:rsidR="00000000" w:rsidRPr="00812D02" w:rsidP="00812D02">
      <w:pPr>
        <w:pStyle w:val="ListBullet3"/>
      </w:pPr>
      <w:r w:rsidRPr="00812D02">
        <w:t>mixing an</w:t>
      </w:r>
      <w:r w:rsidRPr="00812D02">
        <w:t>d placing concrete</w:t>
      </w:r>
    </w:p>
    <w:p w:rsidR="00000000" w:rsidRPr="00812D02" w:rsidP="00812D02">
      <w:pPr>
        <w:pStyle w:val="ListBullet3"/>
      </w:pPr>
      <w:r w:rsidRPr="00812D02">
        <w:t>applying drilling methods</w:t>
      </w:r>
    </w:p>
    <w:p w:rsidR="00000000" w:rsidRPr="00812D02" w:rsidP="00812D02">
      <w:pPr>
        <w:pStyle w:val="ListBullet3"/>
      </w:pPr>
      <w:r w:rsidRPr="00812D02">
        <w:t>operation of pressure cleaning equipment</w:t>
      </w:r>
    </w:p>
    <w:p w:rsidR="00000000" w:rsidRPr="00812D02" w:rsidP="00812D02">
      <w:pPr>
        <w:pStyle w:val="ListBullet3"/>
      </w:pPr>
      <w:r w:rsidRPr="00812D02">
        <w:t>completing calculations and measurements</w:t>
      </w:r>
    </w:p>
    <w:p w:rsidR="00000000" w:rsidRPr="00812D02" w:rsidP="00812D02">
      <w:pPr>
        <w:pStyle w:val="ListBullet2"/>
      </w:pPr>
      <w:r w:rsidRPr="00812D02">
        <w:t>works effectively with others to undertake and complete the construction of monitoring bores that meets all of the required outc</w:t>
      </w:r>
      <w:r w:rsidRPr="00812D02">
        <w:t>omes including:</w:t>
      </w:r>
    </w:p>
    <w:p w:rsidR="00000000" w:rsidRPr="00812D02" w:rsidP="00812D02">
      <w:pPr>
        <w:pStyle w:val="ListBullet3"/>
      </w:pPr>
      <w:r w:rsidRPr="00812D02">
        <w:t>complying with written and verbal reporting requirements and procedures</w:t>
      </w:r>
    </w:p>
    <w:p w:rsidR="00000000" w:rsidRPr="00812D02" w:rsidP="00812D02">
      <w:pPr>
        <w:pStyle w:val="ListBullet3"/>
      </w:pPr>
      <w:r w:rsidRPr="00812D02">
        <w:t>communicating clearly and concisely with others to receive and clarify work instructions</w:t>
      </w:r>
    </w:p>
    <w:p w:rsidR="00000000" w:rsidRPr="00812D02" w:rsidP="00812D02">
      <w:pPr>
        <w:pStyle w:val="ListBullet3"/>
      </w:pPr>
      <w:r w:rsidRPr="00812D02">
        <w:t>communicating clearly and concisely with others to resolve coordination requirements prior to commencing and during work activities</w:t>
      </w:r>
    </w:p>
    <w:p w:rsidR="00000000" w:rsidRPr="00812D02" w:rsidP="00812D02">
      <w:pPr>
        <w:pStyle w:val="ListBullet"/>
      </w:pPr>
      <w:r w:rsidRPr="00812D02">
        <w:t>demonstrates completion of the construction of monitoring bore that safely, effectively and efficiently meets all of the re</w:t>
      </w:r>
      <w:r w:rsidRPr="00812D02">
        <w:t>quired outcomes on more than one (1) occasion including:</w:t>
      </w:r>
    </w:p>
    <w:p w:rsidR="00000000" w:rsidRPr="00812D02" w:rsidP="00812D02">
      <w:pPr>
        <w:pStyle w:val="ListBullet3"/>
      </w:pPr>
      <w:r w:rsidRPr="00812D02">
        <w:t>confirming scope of work with client and gaining agreement on drilling plan</w:t>
      </w:r>
    </w:p>
    <w:p w:rsidR="00000000" w:rsidRPr="00812D02" w:rsidP="00812D02">
      <w:pPr>
        <w:pStyle w:val="ListBullet3"/>
      </w:pPr>
      <w:r w:rsidRPr="00812D02">
        <w:t>assembling and inserting casing and screens</w:t>
      </w:r>
    </w:p>
    <w:p w:rsidR="00000000" w:rsidRPr="00812D02" w:rsidP="00812D02">
      <w:pPr>
        <w:pStyle w:val="ListBullet3"/>
      </w:pPr>
      <w:r w:rsidRPr="00812D02">
        <w:t>placing artificial pack material in a manner so as to ensure uniform distribut</w:t>
      </w:r>
      <w:r w:rsidRPr="00812D02">
        <w:t>ion in the annular space without bridging</w:t>
      </w:r>
    </w:p>
    <w:p w:rsidR="00000000" w:rsidRPr="00812D02" w:rsidP="00812D02">
      <w:pPr>
        <w:pStyle w:val="ListBullet3"/>
      </w:pPr>
      <w:r w:rsidRPr="00812D02">
        <w:t>labelling and securing the well</w:t>
      </w:r>
    </w:p>
    <w:p w:rsidR="00000000" w:rsidRPr="00812D02" w:rsidP="00812D02">
      <w:pPr>
        <w:pStyle w:val="ListBullet3"/>
      </w:pPr>
      <w:r w:rsidRPr="00812D02">
        <w:t>completing a construction diagram showing all details of the construction</w:t>
      </w:r>
    </w:p>
    <w:p w:rsidR="00000000" w:rsidRPr="00812D02" w:rsidP="00812D02">
      <w:pPr>
        <w:pStyle w:val="ListBullet3"/>
      </w:pPr>
      <w:r w:rsidRPr="00812D02">
        <w:t>using a range of development techniques to improve hydraulic transmissivity around the bore</w:t>
      </w:r>
    </w:p>
    <w:p w:rsidR="00000000" w:rsidRPr="00812D02" w:rsidP="00812D02">
      <w:pPr>
        <w:pStyle w:val="ListBullet3"/>
      </w:pPr>
      <w:r w:rsidRPr="00812D02">
        <w:t>carrying out dec</w:t>
      </w:r>
      <w:r w:rsidRPr="00812D02">
        <w:t>ommissioning of test holes per geological formation and hydrological setting</w:t>
      </w:r>
    </w:p>
    <w:p w:rsidR="00000000" w:rsidRPr="00812D02" w:rsidP="00812D02">
      <w:pPr>
        <w:pStyle w:val="AllowPageBreak"/>
      </w:pPr>
    </w:p>
    <w:p w:rsidR="00000000" w:rsidRPr="00812D02" w:rsidP="00812D02">
      <w:pPr>
        <w:pStyle w:val="Heading1"/>
      </w:pPr>
      <w:bookmarkStart w:id="3" w:name="O_689851"/>
      <w:bookmarkEnd w:id="3"/>
      <w:r w:rsidRPr="00812D02">
        <w:t>Knowledge Evidence</w:t>
      </w:r>
    </w:p>
    <w:p w:rsidR="00000000" w:rsidRPr="00812D02" w:rsidP="00EF2BBE">
      <w:pPr>
        <w:pStyle w:val="BodyText"/>
      </w:pPr>
      <w:r w:rsidRPr="00812D02">
        <w:t>The candidate must demonstrate knowledge in constructing monitoring bores through:</w:t>
      </w:r>
    </w:p>
    <w:p w:rsidR="00000000" w:rsidRPr="00812D02" w:rsidP="00812D02">
      <w:pPr>
        <w:pStyle w:val="ListBullet2"/>
      </w:pPr>
      <w:r w:rsidRPr="00812D02">
        <w:t>accessing, interpreting and applying the organisation and site requirements and procedures for:</w:t>
      </w:r>
    </w:p>
    <w:p w:rsidR="00000000" w:rsidRPr="00812D02" w:rsidP="00812D02">
      <w:pPr>
        <w:pStyle w:val="ListBullet3"/>
      </w:pPr>
      <w:r w:rsidRPr="00812D02">
        <w:t>work, health and safety</w:t>
      </w:r>
    </w:p>
    <w:p w:rsidR="00000000" w:rsidRPr="00812D02" w:rsidP="00812D02">
      <w:pPr>
        <w:pStyle w:val="ListBullet3"/>
      </w:pPr>
      <w:r w:rsidRPr="00812D02">
        <w:t>environmental issues</w:t>
      </w:r>
    </w:p>
    <w:p w:rsidR="00000000" w:rsidRPr="00812D02" w:rsidP="00812D02">
      <w:pPr>
        <w:pStyle w:val="ListBullet3"/>
      </w:pPr>
      <w:r w:rsidRPr="00812D02">
        <w:t>operating drill rig</w:t>
      </w:r>
    </w:p>
    <w:p w:rsidR="00000000" w:rsidRPr="00812D02" w:rsidP="00812D02">
      <w:pPr>
        <w:pStyle w:val="ListBullet3"/>
      </w:pPr>
      <w:r w:rsidRPr="00812D02">
        <w:t>housekeeping</w:t>
      </w:r>
    </w:p>
    <w:p w:rsidR="00000000" w:rsidRPr="00812D02" w:rsidP="00812D02">
      <w:pPr>
        <w:pStyle w:val="ListBullet2"/>
      </w:pPr>
      <w:r w:rsidRPr="00812D02">
        <w:t>basic geological formations, i.e. various formations which permit groundwater mo</w:t>
      </w:r>
      <w:r w:rsidRPr="00812D02">
        <w:t>vement and factors affecting groundwater quality</w:t>
      </w:r>
    </w:p>
    <w:p w:rsidR="00000000" w:rsidRPr="00812D02" w:rsidP="00812D02">
      <w:pPr>
        <w:pStyle w:val="ListBullet2"/>
      </w:pPr>
      <w:r w:rsidRPr="00812D02">
        <w:t>characteristics of ‘good samples’ required for water well construction</w:t>
      </w:r>
    </w:p>
    <w:p w:rsidR="00000000" w:rsidRPr="00812D02" w:rsidP="00812D02">
      <w:pPr>
        <w:pStyle w:val="ListBullet2"/>
      </w:pPr>
      <w:r w:rsidRPr="00812D02">
        <w:t>ways in which sampling errors can occur</w:t>
      </w:r>
    </w:p>
    <w:p w:rsidR="00000000" w:rsidRPr="00812D02" w:rsidP="00812D02">
      <w:pPr>
        <w:pStyle w:val="ListBullet2"/>
      </w:pPr>
      <w:r w:rsidRPr="00812D02">
        <w:t>the types of muds, their use, and development techniques to remove them from bores</w:t>
      </w:r>
    </w:p>
    <w:p w:rsidR="00000000" w:rsidRPr="00812D02" w:rsidP="00812D02">
      <w:pPr>
        <w:pStyle w:val="ListBullet2"/>
      </w:pPr>
      <w:r w:rsidRPr="00812D02">
        <w:t>grout placeme</w:t>
      </w:r>
      <w:r w:rsidRPr="00812D02">
        <w:t>nt methods and procedures</w:t>
      </w:r>
    </w:p>
    <w:p w:rsidR="00000000" w:rsidRPr="00812D02" w:rsidP="00812D02">
      <w:pPr>
        <w:pStyle w:val="ListBullet2"/>
      </w:pPr>
      <w:r w:rsidRPr="00812D02">
        <w:t>water sampling techniques and protocols</w:t>
      </w:r>
    </w:p>
    <w:p w:rsidR="00000000" w:rsidRPr="00812D02" w:rsidP="00812D02">
      <w:pPr>
        <w:pStyle w:val="ListBullet2"/>
      </w:pPr>
      <w:r w:rsidRPr="00812D02">
        <w:t>the monitoring systems and alarms requirements and procedures</w:t>
      </w:r>
    </w:p>
    <w:p w:rsidR="00000000" w:rsidRPr="00812D02" w:rsidP="00812D02">
      <w:pPr>
        <w:pStyle w:val="ListBullet2"/>
      </w:pPr>
      <w:r w:rsidRPr="00812D02">
        <w:t>the ground preparation requirements and procedures</w:t>
      </w:r>
    </w:p>
    <w:p w:rsidR="00000000" w:rsidRPr="00812D02" w:rsidP="00812D02">
      <w:pPr>
        <w:pStyle w:val="ListBullet2"/>
      </w:pPr>
      <w:r w:rsidRPr="00812D02">
        <w:t>the inspection, fault finding and reporting requirements and procedures</w:t>
      </w:r>
    </w:p>
    <w:p w:rsidR="00000000" w:rsidRPr="00812D02" w:rsidP="00812D02">
      <w:pPr>
        <w:pStyle w:val="ListBullet2"/>
      </w:pPr>
      <w:r w:rsidRPr="00812D02">
        <w:t>diagrams, plans and instructions for positioning, recording work or progressbeing prepared for fire/accident/emergency</w:t>
      </w:r>
    </w:p>
    <w:p w:rsidR="00000000" w:rsidRPr="00812D02" w:rsidP="00812D02">
      <w:pPr>
        <w:pStyle w:val="AllowPageBreak"/>
      </w:pPr>
    </w:p>
    <w:p w:rsidR="00000000" w:rsidRPr="00812D02" w:rsidP="00812D02">
      <w:pPr>
        <w:pStyle w:val="Heading1"/>
      </w:pPr>
      <w:bookmarkStart w:id="4" w:name="O_689850"/>
      <w:bookmarkEnd w:id="4"/>
      <w:r w:rsidRPr="00812D02">
        <w:t>Assessment Conditions</w:t>
      </w:r>
    </w:p>
    <w:p w:rsidR="00000000" w:rsidRPr="00812D02" w:rsidP="00812D02">
      <w:pPr>
        <w:pStyle w:val="ListBullet"/>
      </w:pPr>
      <w:r w:rsidRPr="00812D02">
        <w:t>An assessor of this unit must satisfy the requirements of the NVR/AQTF or their successors; and I</w:t>
      </w:r>
      <w:r w:rsidRPr="00812D02">
        <w:t xml:space="preserve">ndustry regulations for certification and licensing; and, </w:t>
      </w:r>
    </w:p>
    <w:p w:rsidR="00000000" w:rsidRPr="00812D02" w:rsidP="00812D02">
      <w:pPr>
        <w:pStyle w:val="ListBullet"/>
      </w:pPr>
      <w:r w:rsidRPr="00812D02">
        <w:t>this unit must be assessed in the context of this sector’s work environment; and,</w:t>
      </w:r>
    </w:p>
    <w:p w:rsidR="00000000" w:rsidRPr="00812D02" w:rsidP="00812D02">
      <w:pPr>
        <w:pStyle w:val="ListBullet"/>
      </w:pPr>
      <w:r w:rsidRPr="00812D02">
        <w:t>this unit must be assessed in compliance with relevant legislation/regulation and using policies, procedures, proce</w:t>
      </w:r>
      <w:r w:rsidRPr="00812D02">
        <w:t>sses and operational manuals directly related to the industry sector for which it is being assessed; and,</w:t>
      </w:r>
    </w:p>
    <w:p w:rsidR="00000000" w:rsidRPr="00812D02" w:rsidP="00812D02">
      <w:pPr>
        <w:pStyle w:val="ListBullet"/>
      </w:pPr>
      <w:r w:rsidRPr="00812D02">
        <w:t>assessment may be conducted in conjunction with the assessment of other Units of Competency; and,</w:t>
      </w:r>
    </w:p>
    <w:p w:rsidR="00000000" w:rsidRPr="00812D02" w:rsidP="00812D02">
      <w:pPr>
        <w:pStyle w:val="ListBullet"/>
      </w:pPr>
      <w:r w:rsidRPr="00812D02">
        <w:t>assessment must confirm consistent performance can b</w:t>
      </w:r>
      <w:r w:rsidRPr="00812D02">
        <w:t>e applied in a range of relevant workplace circumstances; and,</w:t>
      </w:r>
    </w:p>
    <w:p w:rsidR="00000000" w:rsidRPr="00812D02" w:rsidP="00812D02">
      <w:pPr>
        <w:pStyle w:val="ListBullet"/>
      </w:pPr>
      <w:r w:rsidRPr="00812D02">
        <w:t xml:space="preserve">assessors must demonstrate the performance evidence, and knowledge evidence as outlined in this Unit of Competency, and through the minimum years of current* work experience specified below in </w:t>
      </w:r>
      <w:r w:rsidRPr="00812D02">
        <w:t>an Industry sector relevant to the outcomes of the unit; or,</w:t>
      </w:r>
    </w:p>
    <w:p w:rsidR="00000000" w:rsidRPr="00812D02" w:rsidP="00812D02">
      <w:pPr>
        <w:pStyle w:val="ListBullet"/>
      </w:pPr>
      <w:r w:rsidRPr="00812D02">
        <w:t>where the assessor does not meet experience requirements a co-assessment or partnership arrangement must exist between the qualified assessor and an Industry subject matter expert. The Industry s</w:t>
      </w:r>
      <w:r w:rsidRPr="00812D02">
        <w:t>ubject matter expert should hold the unit being assessed (or an equivalent unit) and/or demonstrate equivalence of skills and knowledge at the unit level. An Industry technical expert must also demonstrate skills and knowledge from the minimum years of cur</w:t>
      </w:r>
      <w:r w:rsidRPr="00812D02">
        <w:t>rent work experience specified below in the Industry sector, including time spent in roles related to the unit being assessed; and,</w:t>
      </w:r>
    </w:p>
    <w:p w:rsidR="00000000" w:rsidRPr="00812D02" w:rsidP="00812D02">
      <w:pPr>
        <w:pStyle w:val="ListBullet"/>
      </w:pPr>
      <w:r w:rsidRPr="00812D02">
        <w:t>assessor and Industry subject matter expert requirements differ depending on the Australian Qualifications Framework Level (</w:t>
      </w:r>
      <w:r w:rsidRPr="00812D02">
        <w:t>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12D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Heading4"/>
              <w:rPr>
                <w:lang w:val="en-NZ"/>
              </w:rPr>
            </w:pPr>
            <w:r w:rsidRPr="00812D0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Heading4"/>
              <w:rPr>
                <w:lang w:val="en-NZ"/>
              </w:rPr>
            </w:pPr>
            <w:r w:rsidRPr="00812D0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Heading4"/>
              <w:rPr>
                <w:lang w:val="en-NZ"/>
              </w:rPr>
            </w:pPr>
            <w:r w:rsidRPr="00812D02">
              <w:t>Required assessor or Industry subject matter expert experience</w:t>
            </w:r>
          </w:p>
        </w:tc>
      </w:tr>
      <w:tr w:rsidTr="00812D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1 Year</w:t>
            </w:r>
          </w:p>
        </w:tc>
      </w:tr>
      <w:tr w:rsidTr="00812D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2 Years</w:t>
            </w:r>
          </w:p>
        </w:tc>
      </w:tr>
      <w:tr w:rsidTr="00812D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3 Years</w:t>
            </w:r>
          </w:p>
        </w:tc>
      </w:tr>
      <w:tr w:rsidTr="00812D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5 Years</w:t>
            </w:r>
          </w:p>
        </w:tc>
      </w:tr>
      <w:tr w:rsidTr="00812D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2D02">
            <w:pPr>
              <w:pStyle w:val="BodyText"/>
              <w:rPr>
                <w:lang w:val="en-NZ"/>
              </w:rPr>
            </w:pPr>
            <w:r w:rsidRPr="00812D0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2D02" w:rsidP="00812D02">
            <w:pPr>
              <w:pStyle w:val="BodyText"/>
            </w:pPr>
            <w:r w:rsidRPr="00812D0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12D02">
              <w:t>ndard is specified should comply with any relevant regulation.</w:t>
            </w:r>
          </w:p>
        </w:tc>
      </w:tr>
    </w:tbl>
    <w:p w:rsidR="00000000" w:rsidRPr="00812D02" w:rsidP="00EF2BBE">
      <w:pPr>
        <w:pStyle w:val="BodyText"/>
      </w:pPr>
      <w:r w:rsidRPr="00812D02">
        <w:t xml:space="preserve">*Assessors can demonstrate current work experience through employment within Industry in a role relevant to the outcomes of the Unit; or, for external </w:t>
      </w:r>
      <w:r w:rsidRPr="00812D02">
        <w:t>assessors this can be demonstrated through exposure to Industry by conducting frequent site assessments across various locations.</w:t>
      </w:r>
    </w:p>
    <w:p w:rsidR="00EF2BBE" w:rsidP="00EF2BBE">
      <w:pPr>
        <w:pStyle w:val="BodyText"/>
      </w:pPr>
      <w:r w:rsidRPr="00812D02">
        <w:t>**Where a unit is being delivered outside of a Qualification the first numeric character in the Unit code should be considered</w:t>
      </w:r>
      <w:r w:rsidRPr="00812D02">
        <w:t xml:space="preserve"> to indicate the AQF level</w:t>
      </w:r>
    </w:p>
    <w:p w:rsidR="00000000" w:rsidRPr="00812D02" w:rsidP="00812D02">
      <w:pPr>
        <w:pStyle w:val="Heading1"/>
      </w:pPr>
      <w:bookmarkStart w:id="5" w:name="O_689876"/>
      <w:bookmarkEnd w:id="5"/>
      <w:r w:rsidRPr="00812D02">
        <w:t>Links</w:t>
      </w:r>
    </w:p>
    <w:p w:rsidR="00000000" w:rsidRPr="00812D02" w:rsidP="00EF2BBE">
      <w:pPr>
        <w:pStyle w:val="BodyText"/>
      </w:pPr>
      <w:r w:rsidRPr="00812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43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2D02" w:rsidP="00812D02"/>
    <w:sectPr w:rsidSect="00812D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02" w:rsidRPr="00EF2BBE" w:rsidP="00EF2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BE" w:rsidP="00812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BBE" w:rsidP="00812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2BBE" w:rsidP="00812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D02" w:rsidRPr="00EF2BBE" w:rsidP="00EF2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BBE" w:rsidRPr="002D2AF8" w:rsidP="00812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RIINHB320D Construct monitoring bores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2BBE" w:rsidP="00812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980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102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6A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D02"/>
  </w:style>
  <w:style w:type="character" w:customStyle="1" w:styleId="Heading1Char">
    <w:name w:val="Heading 1 Char"/>
    <w:basedOn w:val="DefaultParagraphFont"/>
    <w:link w:val="Heading1"/>
    <w:rsid w:val="00812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D0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12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D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2D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2D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2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D02"/>
    <w:rPr>
      <w:b/>
      <w:spacing w:val="0"/>
    </w:rPr>
  </w:style>
  <w:style w:type="paragraph" w:customStyle="1" w:styleId="SuperTitle">
    <w:name w:val="SuperTitle"/>
    <w:basedOn w:val="Title"/>
    <w:rsid w:val="00812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D02"/>
    <w:rPr>
      <w:i/>
    </w:rPr>
  </w:style>
  <w:style w:type="paragraph" w:styleId="Caption">
    <w:name w:val="caption"/>
    <w:basedOn w:val="BodyText"/>
    <w:next w:val="Normal"/>
    <w:qFormat/>
    <w:rsid w:val="00812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D02"/>
  </w:style>
  <w:style w:type="paragraph" w:styleId="TableofFigures">
    <w:name w:val="table of figures"/>
    <w:basedOn w:val="Normal"/>
    <w:next w:val="Normal"/>
    <w:semiHidden/>
    <w:rsid w:val="00812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D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2D02"/>
    <w:rPr>
      <w:rFonts w:ascii="Wingdings" w:hAnsi="Wingdings"/>
    </w:rPr>
  </w:style>
  <w:style w:type="paragraph" w:customStyle="1" w:styleId="TableHeading">
    <w:name w:val="Table Heading"/>
    <w:basedOn w:val="HeadingBase"/>
    <w:rsid w:val="00812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D02"/>
    <w:rPr>
      <w:color w:val="0033CC"/>
      <w:u w:val="none"/>
    </w:rPr>
  </w:style>
  <w:style w:type="paragraph" w:customStyle="1" w:styleId="BodyTextRight">
    <w:name w:val="Body Text Right"/>
    <w:basedOn w:val="BodyText"/>
    <w:rsid w:val="00812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D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D02"/>
    <w:rPr>
      <w:sz w:val="32"/>
    </w:rPr>
  </w:style>
  <w:style w:type="paragraph" w:customStyle="1" w:styleId="HeadingProcedure">
    <w:name w:val="Heading Procedure"/>
    <w:basedOn w:val="HeadingBase"/>
    <w:next w:val="Normal"/>
    <w:rsid w:val="00812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D02"/>
    <w:pPr>
      <w:spacing w:before="60" w:after="60"/>
    </w:pPr>
  </w:style>
  <w:style w:type="paragraph" w:styleId="ListContinue">
    <w:name w:val="List Continue"/>
    <w:basedOn w:val="List"/>
    <w:rsid w:val="00812D02"/>
    <w:pPr>
      <w:ind w:firstLine="0"/>
    </w:pPr>
  </w:style>
  <w:style w:type="paragraph" w:customStyle="1" w:styleId="ListNote">
    <w:name w:val="List Note"/>
    <w:basedOn w:val="List"/>
    <w:rsid w:val="00812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D02"/>
    <w:rPr>
      <w:rFonts w:ascii="Courier New" w:hAnsi="Courier New"/>
    </w:rPr>
  </w:style>
  <w:style w:type="paragraph" w:customStyle="1" w:styleId="NoteBullet">
    <w:name w:val="Note Bullet"/>
    <w:basedOn w:val="Note"/>
    <w:rsid w:val="00812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D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2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D02"/>
    <w:rPr>
      <w:b/>
      <w:smallCaps/>
    </w:rPr>
  </w:style>
  <w:style w:type="paragraph" w:customStyle="1" w:styleId="TableListNumber">
    <w:name w:val="Table List Number"/>
    <w:basedOn w:val="ListNumber"/>
    <w:rsid w:val="00812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D02"/>
    <w:pPr>
      <w:numPr>
        <w:numId w:val="10"/>
      </w:numPr>
    </w:pPr>
  </w:style>
  <w:style w:type="paragraph" w:customStyle="1" w:styleId="ListAlpha2">
    <w:name w:val="List Alpha 2"/>
    <w:basedOn w:val="List2"/>
    <w:rsid w:val="00812D02"/>
    <w:pPr>
      <w:numPr>
        <w:numId w:val="9"/>
      </w:numPr>
    </w:pPr>
  </w:style>
  <w:style w:type="paragraph" w:styleId="List2">
    <w:name w:val="List 2"/>
    <w:basedOn w:val="BodyText"/>
    <w:rsid w:val="00812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D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2D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2D02"/>
    <w:pPr>
      <w:numPr>
        <w:numId w:val="5"/>
      </w:numPr>
    </w:pPr>
  </w:style>
  <w:style w:type="paragraph" w:styleId="ListContinue2">
    <w:name w:val="List Continue 2"/>
    <w:basedOn w:val="List2"/>
    <w:rsid w:val="00812D02"/>
    <w:pPr>
      <w:ind w:firstLine="0"/>
    </w:pPr>
  </w:style>
  <w:style w:type="paragraph" w:styleId="ListContinue3">
    <w:name w:val="List Continue 3"/>
    <w:basedOn w:val="List3"/>
    <w:rsid w:val="00812D02"/>
    <w:pPr>
      <w:ind w:left="1021" w:firstLine="0"/>
    </w:pPr>
  </w:style>
  <w:style w:type="paragraph" w:styleId="ListContinue4">
    <w:name w:val="List Continue 4"/>
    <w:basedOn w:val="List4"/>
    <w:rsid w:val="00812D02"/>
    <w:pPr>
      <w:ind w:firstLine="0"/>
    </w:pPr>
  </w:style>
  <w:style w:type="paragraph" w:styleId="ListContinue5">
    <w:name w:val="List Continue 5"/>
    <w:basedOn w:val="List5"/>
    <w:rsid w:val="00812D02"/>
    <w:pPr>
      <w:ind w:firstLine="0"/>
    </w:pPr>
  </w:style>
  <w:style w:type="paragraph" w:styleId="ListNumber3">
    <w:name w:val="List Number 3"/>
    <w:basedOn w:val="List3"/>
    <w:rsid w:val="00812D02"/>
    <w:pPr>
      <w:numPr>
        <w:numId w:val="6"/>
      </w:numPr>
    </w:pPr>
  </w:style>
  <w:style w:type="paragraph" w:styleId="ListNumber4">
    <w:name w:val="List Number 4"/>
    <w:basedOn w:val="List4"/>
    <w:rsid w:val="00812D02"/>
    <w:pPr>
      <w:numPr>
        <w:numId w:val="7"/>
      </w:numPr>
    </w:pPr>
  </w:style>
  <w:style w:type="paragraph" w:styleId="ListNumber5">
    <w:name w:val="List Number 5"/>
    <w:basedOn w:val="List5"/>
    <w:rsid w:val="00812D02"/>
    <w:pPr>
      <w:numPr>
        <w:numId w:val="8"/>
      </w:numPr>
    </w:pPr>
  </w:style>
  <w:style w:type="paragraph" w:styleId="BlockText">
    <w:name w:val="Block Text"/>
    <w:basedOn w:val="Normal"/>
    <w:rsid w:val="00812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D02"/>
    <w:rPr>
      <w:sz w:val="16"/>
      <w:vertAlign w:val="superscript"/>
    </w:rPr>
  </w:style>
  <w:style w:type="character" w:customStyle="1" w:styleId="Symbols">
    <w:name w:val="Symbols"/>
    <w:basedOn w:val="DefaultParagraphFont"/>
    <w:rsid w:val="00812D02"/>
    <w:rPr>
      <w:rFonts w:ascii="Symbol" w:hAnsi="Symbol"/>
    </w:rPr>
  </w:style>
  <w:style w:type="character" w:customStyle="1" w:styleId="MenuOptions">
    <w:name w:val="Menu Options"/>
    <w:basedOn w:val="DefaultParagraphFont"/>
    <w:rsid w:val="00812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D02"/>
    <w:rPr>
      <w:b/>
    </w:rPr>
  </w:style>
  <w:style w:type="character" w:customStyle="1" w:styleId="Underlined">
    <w:name w:val="Underlined"/>
    <w:basedOn w:val="DefaultParagraphFont"/>
    <w:rsid w:val="00812D02"/>
    <w:rPr>
      <w:u w:val="single"/>
    </w:rPr>
  </w:style>
  <w:style w:type="paragraph" w:customStyle="1" w:styleId="TableBodyTextRight">
    <w:name w:val="Table Body Text Right"/>
    <w:basedOn w:val="TableBodyText"/>
    <w:rsid w:val="00812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D02"/>
    <w:rPr>
      <w:sz w:val="18"/>
    </w:rPr>
  </w:style>
  <w:style w:type="paragraph" w:customStyle="1" w:styleId="BodySmallRight">
    <w:name w:val="Body Small Right"/>
    <w:basedOn w:val="BodyTextRight"/>
    <w:rsid w:val="00812D02"/>
    <w:rPr>
      <w:sz w:val="18"/>
      <w:szCs w:val="18"/>
    </w:rPr>
  </w:style>
  <w:style w:type="paragraph" w:customStyle="1" w:styleId="MarginEdition">
    <w:name w:val="Margin Edition"/>
    <w:basedOn w:val="MarginNote"/>
    <w:rsid w:val="00812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D02"/>
    <w:rPr>
      <w:sz w:val="2"/>
      <w:szCs w:val="2"/>
    </w:rPr>
  </w:style>
  <w:style w:type="character" w:customStyle="1" w:styleId="Small">
    <w:name w:val="Small"/>
    <w:basedOn w:val="DefaultParagraphFont"/>
    <w:rsid w:val="00812D02"/>
    <w:rPr>
      <w:sz w:val="16"/>
    </w:rPr>
  </w:style>
  <w:style w:type="paragraph" w:customStyle="1" w:styleId="WideTable">
    <w:name w:val="Wide Table"/>
    <w:basedOn w:val="Normal"/>
    <w:rsid w:val="00812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D02"/>
  </w:style>
  <w:style w:type="paragraph" w:styleId="Quote">
    <w:name w:val="Quote"/>
    <w:basedOn w:val="Heading1"/>
    <w:link w:val="QuoteChar"/>
    <w:qFormat/>
    <w:rsid w:val="00812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D02"/>
    <w:pPr>
      <w:pageBreakBefore/>
    </w:pPr>
  </w:style>
  <w:style w:type="paragraph" w:customStyle="1" w:styleId="Border">
    <w:name w:val="Border"/>
    <w:basedOn w:val="Normal"/>
    <w:qFormat/>
    <w:rsid w:val="00812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D02"/>
    <w:rPr>
      <w:u w:val="single"/>
    </w:rPr>
  </w:style>
  <w:style w:type="character" w:customStyle="1" w:styleId="BoldandItalics">
    <w:name w:val="Bold and Italics"/>
    <w:qFormat/>
    <w:rsid w:val="00812D02"/>
    <w:rPr>
      <w:b/>
      <w:i/>
      <w:u w:val="none"/>
    </w:rPr>
  </w:style>
  <w:style w:type="paragraph" w:styleId="BalloonText">
    <w:name w:val="Balloon Text"/>
    <w:basedOn w:val="Normal"/>
    <w:link w:val="BalloonTextChar"/>
    <w:rsid w:val="00812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D02"/>
    <w:pPr>
      <w:spacing w:before="0" w:after="0"/>
    </w:pPr>
  </w:style>
  <w:style w:type="paragraph" w:customStyle="1" w:styleId="BodyTextBold">
    <w:name w:val="Body Text Bold"/>
    <w:basedOn w:val="BodyText"/>
    <w:qFormat/>
    <w:rsid w:val="00812D02"/>
    <w:rPr>
      <w:b/>
    </w:rPr>
  </w:style>
  <w:style w:type="character" w:styleId="Hyperlink">
    <w:name w:val="Hyperlink"/>
    <w:basedOn w:val="DefaultParagraphFont"/>
    <w:uiPriority w:val="99"/>
    <w:unhideWhenUsed/>
    <w:rsid w:val="00EF2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5729</Characters>
  <Application>Microsoft Office Word</Application>
  <DocSecurity>0</DocSecurity>
  <Lines>143</Lines>
  <Paragraphs>94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RIINHB320D Construct monitoring bores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