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717" w:rsidP="00163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RIINHB316D Conduct underground in-seam directional drilling</w:t>
      </w:r>
      <w:r>
        <w:fldChar w:fldCharType="end"/>
      </w:r>
    </w:p>
    <w:p w:rsidR="00163717" w:rsidP="00163717">
      <w:pPr>
        <w:pStyle w:val="Version"/>
        <w:sectPr w:rsidSect="00B87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7C0D" w:rsidP="00B87C0D">
      <w:pPr>
        <w:pStyle w:val="SuperHeading"/>
      </w:pPr>
      <w:r w:rsidRPr="00B87C0D">
        <w:t>Assessment Requirements for RIINHB316D Conduct underground in-seam directional drilling</w:t>
      </w:r>
    </w:p>
    <w:p w:rsidR="00000000" w:rsidRPr="00B87C0D" w:rsidP="00B87C0D">
      <w:pPr>
        <w:pStyle w:val="Heading1"/>
      </w:pPr>
      <w:bookmarkStart w:id="1" w:name="O_689733"/>
      <w:bookmarkEnd w:id="1"/>
      <w:r w:rsidRPr="00B87C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637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C0D">
            <w:pPr>
              <w:pStyle w:val="Heading4"/>
              <w:rPr>
                <w:lang w:val="en-NZ"/>
              </w:rPr>
            </w:pPr>
            <w:r w:rsidRPr="00B87C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C0D">
            <w:pPr>
              <w:pStyle w:val="Heading4"/>
              <w:rPr>
                <w:lang w:val="en-NZ"/>
              </w:rPr>
            </w:pPr>
            <w:r w:rsidRPr="00B87C0D">
              <w:t>Comment</w:t>
            </w:r>
          </w:p>
        </w:tc>
      </w:tr>
      <w:tr w:rsidTr="001637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This unit replaces RIINHB316A Conduct underground in-seam directional drilling</w:t>
            </w:r>
          </w:p>
        </w:tc>
      </w:tr>
      <w:tr w:rsidTr="001637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C0D" w:rsidP="00B87C0D">
            <w:pPr>
              <w:pStyle w:val="BodyText"/>
            </w:pPr>
            <w:r w:rsidRPr="00B87C0D">
              <w:t>Required frequency and volume of evidence amended in Performance evidence.</w:t>
            </w:r>
          </w:p>
          <w:p w:rsidR="00000000" w:rsidRPr="00B87C0D" w:rsidP="00B87C0D">
            <w:pPr>
              <w:pStyle w:val="BodyText"/>
            </w:pPr>
            <w:r w:rsidRPr="00B87C0D">
              <w:t>Substantial amendments made in Assessment Conditions field, including: references to Industry Sectors, assessor and subject matter expert experience requirements, how assessment sho</w:t>
            </w:r>
            <w:r w:rsidRPr="00B87C0D">
              <w:t>uld be conducted and what it should confirm.</w:t>
            </w:r>
          </w:p>
        </w:tc>
      </w:tr>
    </w:tbl>
    <w:p w:rsidR="00000000" w:rsidRPr="00B87C0D" w:rsidP="00B87C0D">
      <w:pPr>
        <w:pStyle w:val="BodyText"/>
      </w:pPr>
    </w:p>
    <w:p w:rsidR="00000000" w:rsidRPr="00B87C0D" w:rsidP="00B87C0D">
      <w:pPr>
        <w:pStyle w:val="AllowPageBreak"/>
      </w:pPr>
    </w:p>
    <w:p w:rsidR="00000000" w:rsidRPr="00B87C0D" w:rsidP="00B87C0D">
      <w:pPr>
        <w:pStyle w:val="Heading1"/>
      </w:pPr>
      <w:bookmarkStart w:id="2" w:name="O_689732"/>
      <w:bookmarkEnd w:id="2"/>
      <w:r w:rsidRPr="00B87C0D">
        <w:t>Performance Evidence</w:t>
      </w:r>
    </w:p>
    <w:p w:rsidR="00000000" w:rsidRPr="00B87C0D" w:rsidP="00163717">
      <w:pPr>
        <w:pStyle w:val="BodyText"/>
      </w:pPr>
      <w:r w:rsidRPr="00B87C0D">
        <w:t>Evidence is required to be collected that demonstrates a candidate’s competency in this unit. Evidence must be relevant to the roles within this sector’</w:t>
      </w:r>
      <w:r w:rsidRPr="00B87C0D">
        <w:t>s work operations and satisfy all of the requirements of the performance criteria of this unit and include evidence that the candidate:</w:t>
      </w:r>
    </w:p>
    <w:p w:rsidR="00000000" w:rsidRPr="00B87C0D" w:rsidP="00B87C0D">
      <w:pPr>
        <w:pStyle w:val="ListBullet2"/>
      </w:pPr>
      <w:r w:rsidRPr="00B87C0D">
        <w:t>locates and applies relevant documentation, policies and procedures</w:t>
      </w:r>
    </w:p>
    <w:p w:rsidR="00000000" w:rsidRPr="00B87C0D" w:rsidP="00B87C0D">
      <w:pPr>
        <w:pStyle w:val="ListBullet2"/>
      </w:pPr>
      <w:r w:rsidRPr="00B87C0D">
        <w:t>implements the requirements, procedures and techniq</w:t>
      </w:r>
      <w:r w:rsidRPr="00B87C0D">
        <w:t>ues for the safe, effective and efficient completion of conducting of underground in-seam directional drilling including:</w:t>
      </w:r>
    </w:p>
    <w:p w:rsidR="00000000" w:rsidRPr="00B87C0D" w:rsidP="00B87C0D">
      <w:pPr>
        <w:pStyle w:val="ListBullet3"/>
      </w:pPr>
      <w:r w:rsidRPr="00B87C0D">
        <w:t xml:space="preserve">applying safe manual handling practices </w:t>
      </w:r>
    </w:p>
    <w:p w:rsidR="00000000" w:rsidRPr="00B87C0D" w:rsidP="00B87C0D">
      <w:pPr>
        <w:pStyle w:val="ListBullet3"/>
      </w:pPr>
      <w:r w:rsidRPr="00B87C0D">
        <w:t>operating survey equipment</w:t>
      </w:r>
    </w:p>
    <w:p w:rsidR="00000000" w:rsidRPr="00B87C0D" w:rsidP="00B87C0D">
      <w:pPr>
        <w:pStyle w:val="ListBullet3"/>
      </w:pPr>
      <w:r w:rsidRPr="00B87C0D">
        <w:t>using drill bit, down-hole motor, and survey tool</w:t>
      </w:r>
    </w:p>
    <w:p w:rsidR="00000000" w:rsidRPr="00B87C0D" w:rsidP="00B87C0D">
      <w:pPr>
        <w:pStyle w:val="ListBullet3"/>
      </w:pPr>
      <w:r w:rsidRPr="00B87C0D">
        <w:t>conducting insp</w:t>
      </w:r>
      <w:r w:rsidRPr="00B87C0D">
        <w:t>ection and monitoring</w:t>
      </w:r>
    </w:p>
    <w:p w:rsidR="00000000" w:rsidRPr="00B87C0D" w:rsidP="00B87C0D">
      <w:pPr>
        <w:pStyle w:val="ListBullet3"/>
      </w:pPr>
      <w:r w:rsidRPr="00B87C0D">
        <w:t>conducting equipment maintenance</w:t>
      </w:r>
    </w:p>
    <w:p w:rsidR="00000000" w:rsidRPr="00B87C0D" w:rsidP="00B87C0D">
      <w:pPr>
        <w:pStyle w:val="ListBullet3"/>
      </w:pPr>
      <w:r w:rsidRPr="00B87C0D">
        <w:t>reading, interpreting and applying drill plans</w:t>
      </w:r>
    </w:p>
    <w:p w:rsidR="00000000" w:rsidRPr="00B87C0D" w:rsidP="00B87C0D">
      <w:pPr>
        <w:pStyle w:val="ListBullet3"/>
      </w:pPr>
      <w:r w:rsidRPr="00B87C0D">
        <w:t>operating ancillary equipment operating</w:t>
      </w:r>
    </w:p>
    <w:p w:rsidR="00000000" w:rsidRPr="00B87C0D" w:rsidP="00B87C0D">
      <w:pPr>
        <w:pStyle w:val="ListBullet2"/>
      </w:pPr>
      <w:r w:rsidRPr="00B87C0D">
        <w:t>works effectively with others to undertake and complete the conducting of underground in-seam directional drillin</w:t>
      </w:r>
      <w:r w:rsidRPr="00B87C0D">
        <w:t xml:space="preserve">g that meets all of the required outcomes including: </w:t>
      </w:r>
    </w:p>
    <w:p w:rsidR="00000000" w:rsidRPr="00B87C0D" w:rsidP="00B87C0D">
      <w:pPr>
        <w:pStyle w:val="ListBullet3"/>
      </w:pPr>
      <w:r w:rsidRPr="00B87C0D">
        <w:t>complying with written and verbal reporting requirements and procedures</w:t>
      </w:r>
    </w:p>
    <w:p w:rsidR="00000000" w:rsidRPr="00B87C0D" w:rsidP="00B87C0D">
      <w:pPr>
        <w:pStyle w:val="ListBullet3"/>
      </w:pPr>
      <w:r w:rsidRPr="00B87C0D">
        <w:t>communicating clearly and concisely with others to receive and clarify work instructions</w:t>
      </w:r>
    </w:p>
    <w:p w:rsidR="00000000" w:rsidRPr="00B87C0D" w:rsidP="00B87C0D">
      <w:pPr>
        <w:pStyle w:val="ListBullet3"/>
      </w:pPr>
      <w:r w:rsidRPr="00B87C0D">
        <w:t>communicating clearly and concisely with others to resolve coordination requirements prior to commencing and during work activities</w:t>
      </w:r>
    </w:p>
    <w:p w:rsidR="00000000" w:rsidRPr="00B87C0D" w:rsidP="00B87C0D">
      <w:pPr>
        <w:pStyle w:val="ListBullet"/>
      </w:pPr>
      <w:r w:rsidRPr="00B87C0D">
        <w:t xml:space="preserve">demonstrates completion of conducting of underground in-seam directional drilling that safely, effectively and efficiently </w:t>
      </w:r>
      <w:r w:rsidRPr="00B87C0D">
        <w:t>meets all of the required outcomes on more than one (1) occasion including:</w:t>
      </w:r>
    </w:p>
    <w:p w:rsidR="00000000" w:rsidRPr="00B87C0D" w:rsidP="00B87C0D">
      <w:pPr>
        <w:pStyle w:val="ListBullet3"/>
      </w:pPr>
      <w:r w:rsidRPr="00B87C0D">
        <w:t>calibrating survey tool</w:t>
      </w:r>
    </w:p>
    <w:p w:rsidR="00000000" w:rsidRPr="00B87C0D" w:rsidP="00B87C0D">
      <w:pPr>
        <w:pStyle w:val="ListBullet3"/>
      </w:pPr>
      <w:r w:rsidRPr="00B87C0D">
        <w:t>setting up the orientation of the survey tool and the down-hole motor</w:t>
      </w:r>
    </w:p>
    <w:p w:rsidR="00000000" w:rsidRPr="00B87C0D" w:rsidP="00B87C0D">
      <w:pPr>
        <w:pStyle w:val="ListBullet3"/>
      </w:pPr>
      <w:r w:rsidRPr="00B87C0D">
        <w:t>conducting on-going surveys at intervals in accordance with the drill plan and use th</w:t>
      </w:r>
      <w:r w:rsidRPr="00B87C0D">
        <w:t>e result to adjust the orientation of the down-hole motor</w:t>
      </w:r>
    </w:p>
    <w:p w:rsidR="00000000" w:rsidRPr="00B87C0D" w:rsidP="00B87C0D">
      <w:pPr>
        <w:pStyle w:val="ListBullet3"/>
      </w:pPr>
      <w:r w:rsidRPr="00B87C0D">
        <w:t>choosing drill bits appropriate to the geology</w:t>
      </w:r>
    </w:p>
    <w:p w:rsidR="00000000" w:rsidRPr="00B87C0D" w:rsidP="00B87C0D">
      <w:pPr>
        <w:pStyle w:val="ListBullet3"/>
      </w:pPr>
      <w:r w:rsidRPr="00B87C0D">
        <w:t>identifying, selecting and applying rig operational controls</w:t>
      </w:r>
    </w:p>
    <w:p w:rsidR="00000000" w:rsidRPr="00B87C0D" w:rsidP="00B87C0D">
      <w:pPr>
        <w:pStyle w:val="ListBullet3"/>
      </w:pPr>
      <w:r w:rsidRPr="00B87C0D">
        <w:t>monitoring and adjusting drilling technique according to conditions</w:t>
      </w:r>
    </w:p>
    <w:p w:rsidR="00000000" w:rsidRPr="00B87C0D" w:rsidP="00B87C0D">
      <w:pPr>
        <w:pStyle w:val="ListBullet3"/>
      </w:pPr>
      <w:r w:rsidRPr="00B87C0D">
        <w:t>reorienting the down-h</w:t>
      </w:r>
      <w:r w:rsidRPr="00B87C0D">
        <w:t>ole motor when branching is required to achieve required deviation of the hole</w:t>
      </w:r>
    </w:p>
    <w:p w:rsidR="00000000" w:rsidRPr="00B87C0D" w:rsidP="00B87C0D">
      <w:pPr>
        <w:pStyle w:val="AllowPageBreak"/>
      </w:pPr>
    </w:p>
    <w:p w:rsidR="00000000" w:rsidRPr="00B87C0D" w:rsidP="00B87C0D">
      <w:pPr>
        <w:pStyle w:val="Heading1"/>
      </w:pPr>
      <w:bookmarkStart w:id="3" w:name="O_689731"/>
      <w:bookmarkEnd w:id="3"/>
      <w:r w:rsidRPr="00B87C0D">
        <w:t>Knowledge Evidence</w:t>
      </w:r>
    </w:p>
    <w:p w:rsidR="00000000" w:rsidRPr="00B87C0D" w:rsidP="00163717">
      <w:pPr>
        <w:pStyle w:val="BodyText"/>
      </w:pPr>
      <w:r w:rsidRPr="00B87C0D">
        <w:t>The candidate must demonstrate knowledge in conducting underground in-seam directional drilling through:</w:t>
      </w:r>
    </w:p>
    <w:p w:rsidR="00000000" w:rsidRPr="00B87C0D" w:rsidP="00B87C0D">
      <w:pPr>
        <w:pStyle w:val="ListBullet2"/>
      </w:pPr>
      <w:r w:rsidRPr="00B87C0D">
        <w:t>accessing, interpreting and applyin</w:t>
      </w:r>
      <w:r w:rsidRPr="00B87C0D">
        <w:t>g the organisation and site requirements and procedures for:</w:t>
      </w:r>
    </w:p>
    <w:p w:rsidR="00000000" w:rsidRPr="00B87C0D" w:rsidP="00B87C0D">
      <w:pPr>
        <w:pStyle w:val="ListBullet3"/>
      </w:pPr>
      <w:r w:rsidRPr="00B87C0D">
        <w:t>work, health and safety</w:t>
      </w:r>
    </w:p>
    <w:p w:rsidR="00000000" w:rsidRPr="00B87C0D" w:rsidP="00B87C0D">
      <w:pPr>
        <w:pStyle w:val="ListBullet3"/>
      </w:pPr>
      <w:r w:rsidRPr="00B87C0D">
        <w:t>environmental issues</w:t>
      </w:r>
    </w:p>
    <w:p w:rsidR="00000000" w:rsidRPr="00B87C0D" w:rsidP="00B87C0D">
      <w:pPr>
        <w:pStyle w:val="ListBullet3"/>
      </w:pPr>
      <w:r w:rsidRPr="00B87C0D">
        <w:t>operating drill rig</w:t>
      </w:r>
    </w:p>
    <w:p w:rsidR="00000000" w:rsidRPr="00B87C0D" w:rsidP="00B87C0D">
      <w:pPr>
        <w:pStyle w:val="ListBullet3"/>
      </w:pPr>
      <w:r w:rsidRPr="00B87C0D">
        <w:t>housekeeping</w:t>
      </w:r>
    </w:p>
    <w:p w:rsidR="00000000" w:rsidRPr="00B87C0D" w:rsidP="00B87C0D">
      <w:pPr>
        <w:pStyle w:val="ListBullet2"/>
      </w:pPr>
      <w:r w:rsidRPr="00B87C0D">
        <w:t>identifying the potential underground directional drilling hazards</w:t>
      </w:r>
    </w:p>
    <w:p w:rsidR="00000000" w:rsidRPr="00B87C0D" w:rsidP="00B87C0D">
      <w:pPr>
        <w:pStyle w:val="ListBullet2"/>
      </w:pPr>
      <w:r w:rsidRPr="00B87C0D">
        <w:t xml:space="preserve">principles of underground in-seam directional drilling operations </w:t>
      </w:r>
    </w:p>
    <w:p w:rsidR="00000000" w:rsidRPr="00B87C0D" w:rsidP="00B87C0D">
      <w:pPr>
        <w:pStyle w:val="ListBullet2"/>
      </w:pPr>
      <w:r w:rsidRPr="00B87C0D">
        <w:t>complying with the manufacturer’s requirements and procedures</w:t>
      </w:r>
    </w:p>
    <w:p w:rsidR="00000000" w:rsidRPr="00B87C0D" w:rsidP="00B87C0D">
      <w:pPr>
        <w:pStyle w:val="ListBullet2"/>
      </w:pPr>
      <w:r w:rsidRPr="00B87C0D">
        <w:t>specific handling requirements for underground drilling equipment</w:t>
      </w:r>
    </w:p>
    <w:p w:rsidR="00000000" w:rsidRPr="00B87C0D" w:rsidP="00B87C0D">
      <w:pPr>
        <w:pStyle w:val="ListBullet2"/>
      </w:pPr>
      <w:r w:rsidRPr="00B87C0D">
        <w:t>basic geology types and their impact on underground in-seam d</w:t>
      </w:r>
      <w:r w:rsidRPr="00B87C0D">
        <w:t>irectional drilling operations</w:t>
      </w:r>
    </w:p>
    <w:p w:rsidR="00000000" w:rsidRPr="00B87C0D" w:rsidP="00B87C0D">
      <w:pPr>
        <w:pStyle w:val="ListBullet2"/>
      </w:pPr>
      <w:r w:rsidRPr="00B87C0D">
        <w:t>appropriate drill bits for different geology types</w:t>
      </w:r>
    </w:p>
    <w:p w:rsidR="00000000" w:rsidRPr="00B87C0D" w:rsidP="00B87C0D">
      <w:pPr>
        <w:pStyle w:val="ListBullet2"/>
      </w:pPr>
      <w:r w:rsidRPr="00B87C0D">
        <w:t>appropriate reamers for different geology types</w:t>
      </w:r>
    </w:p>
    <w:p w:rsidR="00000000" w:rsidRPr="00B87C0D" w:rsidP="00B87C0D">
      <w:pPr>
        <w:pStyle w:val="ListBullet2"/>
      </w:pPr>
      <w:r w:rsidRPr="00B87C0D">
        <w:t>importance and functions of the standpipe</w:t>
      </w:r>
    </w:p>
    <w:p w:rsidR="00000000" w:rsidRPr="00B87C0D" w:rsidP="00B87C0D">
      <w:pPr>
        <w:pStyle w:val="ListBullet2"/>
      </w:pPr>
      <w:r w:rsidRPr="00B87C0D">
        <w:t>understanding the maximum radius of curvature for drill string</w:t>
      </w:r>
    </w:p>
    <w:p w:rsidR="00000000" w:rsidRPr="00B87C0D" w:rsidP="00B87C0D">
      <w:pPr>
        <w:pStyle w:val="ListBullet2"/>
      </w:pPr>
      <w:r w:rsidRPr="00B87C0D">
        <w:t>understanding the typ</w:t>
      </w:r>
      <w:r w:rsidRPr="00B87C0D">
        <w:t>es of drill fluid and their applications</w:t>
      </w:r>
    </w:p>
    <w:p w:rsidR="00000000" w:rsidRPr="00B87C0D" w:rsidP="00B87C0D">
      <w:pPr>
        <w:pStyle w:val="ListBullet2"/>
      </w:pPr>
      <w:r w:rsidRPr="00B87C0D">
        <w:t>being prepared for fire/accident/emergency</w:t>
      </w:r>
    </w:p>
    <w:p w:rsidR="00000000" w:rsidRPr="00B87C0D" w:rsidP="00B87C0D">
      <w:pPr>
        <w:pStyle w:val="AllowPageBreak"/>
      </w:pPr>
    </w:p>
    <w:p w:rsidR="00000000" w:rsidRPr="00B87C0D" w:rsidP="00B87C0D">
      <w:pPr>
        <w:pStyle w:val="Heading1"/>
      </w:pPr>
      <w:bookmarkStart w:id="4" w:name="O_689730"/>
      <w:bookmarkEnd w:id="4"/>
      <w:r w:rsidRPr="00B87C0D">
        <w:t>Assessment Conditions</w:t>
      </w:r>
    </w:p>
    <w:p w:rsidR="00000000" w:rsidRPr="00B87C0D" w:rsidP="00B87C0D">
      <w:pPr>
        <w:pStyle w:val="ListBullet"/>
      </w:pPr>
      <w:r w:rsidRPr="00B87C0D">
        <w:t xml:space="preserve">An assessor of this unit must satisfy the requirements of the NVR/AQTF or their successors; </w:t>
      </w:r>
      <w:r w:rsidRPr="00B87C0D">
        <w:t xml:space="preserve">and Industry regulations for certification and licensing; and, </w:t>
      </w:r>
    </w:p>
    <w:p w:rsidR="00000000" w:rsidRPr="00B87C0D" w:rsidP="00B87C0D">
      <w:pPr>
        <w:pStyle w:val="ListBullet"/>
      </w:pPr>
      <w:r w:rsidRPr="00B87C0D">
        <w:t>this unit must be assessed in the context of this sector’s work environment; and,</w:t>
      </w:r>
    </w:p>
    <w:p w:rsidR="00000000" w:rsidRPr="00B87C0D" w:rsidP="00B87C0D">
      <w:pPr>
        <w:pStyle w:val="ListBullet"/>
      </w:pPr>
      <w:r w:rsidRPr="00B87C0D">
        <w:t xml:space="preserve">this unit must be assessed in compliance with relevant legislation/regulation and using policies, procedures, </w:t>
      </w:r>
      <w:r w:rsidRPr="00B87C0D">
        <w:t>processes and operational manuals directly related to the industry sector for which it is being assessed; and,</w:t>
      </w:r>
    </w:p>
    <w:p w:rsidR="00000000" w:rsidRPr="00B87C0D" w:rsidP="00B87C0D">
      <w:pPr>
        <w:pStyle w:val="ListBullet"/>
      </w:pPr>
      <w:r w:rsidRPr="00B87C0D">
        <w:t>assessment may be conducted in conjunction with the assessment of other Units of Competency; and,</w:t>
      </w:r>
    </w:p>
    <w:p w:rsidR="00000000" w:rsidRPr="00B87C0D" w:rsidP="00B87C0D">
      <w:pPr>
        <w:pStyle w:val="ListBullet"/>
      </w:pPr>
      <w:r w:rsidRPr="00B87C0D">
        <w:t xml:space="preserve">assessment must confirm consistent performance </w:t>
      </w:r>
      <w:r w:rsidRPr="00B87C0D">
        <w:t>can be applied in a range of relevant workplace circumstances; and,</w:t>
      </w:r>
    </w:p>
    <w:p w:rsidR="00000000" w:rsidRPr="00B87C0D" w:rsidP="00B87C0D">
      <w:pPr>
        <w:pStyle w:val="ListBullet"/>
      </w:pPr>
      <w:r w:rsidRPr="00B87C0D">
        <w:t>assessors must demonstrate the performance evidence, and knowledge evidence as outlined in this Unit of Competency, and through the minimum years of current* work experience specified belo</w:t>
      </w:r>
      <w:r w:rsidRPr="00B87C0D">
        <w:t>w in an Industry sector relevant to the outcomes of the unit; or,</w:t>
      </w:r>
    </w:p>
    <w:p w:rsidR="00000000" w:rsidRPr="00B87C0D" w:rsidP="00B87C0D">
      <w:pPr>
        <w:pStyle w:val="ListBullet"/>
      </w:pPr>
      <w:r w:rsidRPr="00B87C0D">
        <w:t>where the assessor does not meet experience requirements a co-assessment or partnership arrangement must exist between the qualified assessor and an Industry subject matter expert. The Indus</w:t>
      </w:r>
      <w:r w:rsidRPr="00B87C0D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B87C0D">
        <w:t>f current work experience specified below in the Industry sector, including time spent in roles related to the unit being assessed; and,</w:t>
      </w:r>
    </w:p>
    <w:p w:rsidR="00000000" w:rsidRPr="00B87C0D" w:rsidP="00B87C0D">
      <w:pPr>
        <w:pStyle w:val="ListBullet"/>
      </w:pPr>
      <w:r w:rsidRPr="00B87C0D">
        <w:t>assessor and Industry subject matter expert requirements differ depending on the Australian Qualifications Framework Le</w:t>
      </w:r>
      <w:r w:rsidRPr="00B87C0D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87C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Heading4"/>
              <w:rPr>
                <w:lang w:val="en-NZ"/>
              </w:rPr>
            </w:pPr>
            <w:r w:rsidRPr="00B87C0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Heading4"/>
              <w:rPr>
                <w:lang w:val="en-NZ"/>
              </w:rPr>
            </w:pPr>
            <w:r w:rsidRPr="00B87C0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Heading4"/>
              <w:rPr>
                <w:lang w:val="en-NZ"/>
              </w:rPr>
            </w:pPr>
            <w:r w:rsidRPr="00B87C0D">
              <w:t>Required assessor or Industry subject matter expert experience</w:t>
            </w:r>
          </w:p>
        </w:tc>
      </w:tr>
      <w:tr w:rsidTr="00B87C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Drilling, Metalliferous Mining, Coal Mining, Extractive</w:t>
            </w:r>
            <w:r w:rsidRPr="00B87C0D">
              <w:t xml:space="preserve">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1 Year</w:t>
            </w:r>
          </w:p>
        </w:tc>
      </w:tr>
      <w:tr w:rsidTr="00B87C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2 Years</w:t>
            </w:r>
          </w:p>
        </w:tc>
      </w:tr>
      <w:tr w:rsidTr="00B87C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3 Years</w:t>
            </w:r>
          </w:p>
        </w:tc>
      </w:tr>
      <w:tr w:rsidTr="00B87C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5 Years</w:t>
            </w:r>
          </w:p>
        </w:tc>
      </w:tr>
      <w:tr w:rsidTr="00B87C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7C0D">
            <w:pPr>
              <w:pStyle w:val="BodyText"/>
              <w:rPr>
                <w:lang w:val="en-NZ"/>
              </w:rPr>
            </w:pPr>
            <w:r w:rsidRPr="00B87C0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7C0D" w:rsidP="00B87C0D">
            <w:pPr>
              <w:pStyle w:val="BodyText"/>
            </w:pPr>
            <w:r w:rsidRPr="00B87C0D">
              <w:t>Wh</w:t>
            </w:r>
            <w:r w:rsidRPr="00B87C0D">
              <w:t>ere this Unit is being assessed outside of the Resources and Infrastructure Sectors assessor and/or Industry subject matter expert experience should be in-line with industry standards for the sector in which it is being assessed and where no Industry stand</w:t>
            </w:r>
            <w:r w:rsidRPr="00B87C0D">
              <w:t>ard is specified should comply with any relevant regulation.</w:t>
            </w:r>
          </w:p>
        </w:tc>
      </w:tr>
    </w:tbl>
    <w:p w:rsidR="00000000" w:rsidRPr="00B87C0D" w:rsidP="00163717">
      <w:pPr>
        <w:pStyle w:val="BodyText"/>
      </w:pPr>
      <w:r w:rsidRPr="00B87C0D">
        <w:t xml:space="preserve">*Assessors can demonstrate current work experience through employment within Industry in a role relevant to the outcomes of the Unit; or, for external </w:t>
      </w:r>
      <w:r w:rsidRPr="00B87C0D">
        <w:t>assessors this can be demonstrated through exposure to Industry by conducting frequent site assessments across various locations.</w:t>
      </w:r>
    </w:p>
    <w:p w:rsidR="00000000" w:rsidRPr="00B87C0D" w:rsidP="00163717">
      <w:pPr>
        <w:pStyle w:val="BodyText"/>
      </w:pPr>
      <w:r w:rsidRPr="00B87C0D">
        <w:t>**Where a unit is being delivered outside of a Qualification the first numeric character in the Unit code should be considered</w:t>
      </w:r>
      <w:r w:rsidRPr="00B87C0D">
        <w:t xml:space="preserve"> to indicate the AQF level</w:t>
      </w:r>
    </w:p>
    <w:p w:rsidR="00000000" w:rsidRPr="00B87C0D" w:rsidP="00B87C0D">
      <w:pPr>
        <w:pStyle w:val="Heading1"/>
      </w:pPr>
      <w:bookmarkStart w:id="5" w:name="O_689743"/>
      <w:bookmarkEnd w:id="5"/>
      <w:r w:rsidRPr="00B87C0D">
        <w:t>Links</w:t>
      </w:r>
    </w:p>
    <w:p w:rsidR="00000000" w:rsidRPr="00B87C0D" w:rsidP="00163717">
      <w:pPr>
        <w:pStyle w:val="BodyText"/>
      </w:pPr>
      <w:r w:rsidRPr="00B87C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E5D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87C0D" w:rsidP="00B87C0D"/>
    <w:sectPr w:rsidSect="00B87C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0D" w:rsidRPr="00163717" w:rsidP="00163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17" w:rsidP="00B87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717" w:rsidP="00B87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3717" w:rsidP="00B87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C0D" w:rsidRPr="00163717" w:rsidP="00163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17" w:rsidRPr="002D2AF8" w:rsidP="00B87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RIINHB316D Conduct underground in-seam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63717" w:rsidP="00B87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20D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81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A8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C0D"/>
  </w:style>
  <w:style w:type="character" w:customStyle="1" w:styleId="Heading1Char">
    <w:name w:val="Heading 1 Char"/>
    <w:basedOn w:val="DefaultParagraphFont"/>
    <w:link w:val="Heading1"/>
    <w:rsid w:val="00B87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C0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7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C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C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7C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7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C0D"/>
    <w:rPr>
      <w:b/>
      <w:spacing w:val="0"/>
    </w:rPr>
  </w:style>
  <w:style w:type="paragraph" w:customStyle="1" w:styleId="SuperTitle">
    <w:name w:val="SuperTitle"/>
    <w:basedOn w:val="Title"/>
    <w:rsid w:val="00B87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C0D"/>
    <w:rPr>
      <w:i/>
    </w:rPr>
  </w:style>
  <w:style w:type="paragraph" w:styleId="Caption">
    <w:name w:val="caption"/>
    <w:basedOn w:val="BodyText"/>
    <w:next w:val="Normal"/>
    <w:qFormat/>
    <w:rsid w:val="00B87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C0D"/>
  </w:style>
  <w:style w:type="paragraph" w:styleId="TableofFigures">
    <w:name w:val="table of figures"/>
    <w:basedOn w:val="Normal"/>
    <w:next w:val="Normal"/>
    <w:semiHidden/>
    <w:rsid w:val="00B87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C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7C0D"/>
    <w:rPr>
      <w:rFonts w:ascii="Wingdings" w:hAnsi="Wingdings"/>
    </w:rPr>
  </w:style>
  <w:style w:type="paragraph" w:customStyle="1" w:styleId="TableHeading">
    <w:name w:val="Table Heading"/>
    <w:basedOn w:val="HeadingBase"/>
    <w:rsid w:val="00B87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C0D"/>
    <w:rPr>
      <w:color w:val="0033CC"/>
      <w:u w:val="none"/>
    </w:rPr>
  </w:style>
  <w:style w:type="paragraph" w:customStyle="1" w:styleId="BodyTextRight">
    <w:name w:val="Body Text Right"/>
    <w:basedOn w:val="BodyText"/>
    <w:rsid w:val="00B87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C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C0D"/>
    <w:rPr>
      <w:sz w:val="32"/>
    </w:rPr>
  </w:style>
  <w:style w:type="paragraph" w:customStyle="1" w:styleId="HeadingProcedure">
    <w:name w:val="Heading Procedure"/>
    <w:basedOn w:val="HeadingBase"/>
    <w:next w:val="Normal"/>
    <w:rsid w:val="00B87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C0D"/>
    <w:pPr>
      <w:spacing w:before="60" w:after="60"/>
    </w:pPr>
  </w:style>
  <w:style w:type="paragraph" w:styleId="ListContinue">
    <w:name w:val="List Continue"/>
    <w:basedOn w:val="List"/>
    <w:rsid w:val="00B87C0D"/>
    <w:pPr>
      <w:ind w:firstLine="0"/>
    </w:pPr>
  </w:style>
  <w:style w:type="paragraph" w:customStyle="1" w:styleId="ListNote">
    <w:name w:val="List Note"/>
    <w:basedOn w:val="List"/>
    <w:rsid w:val="00B87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C0D"/>
    <w:rPr>
      <w:rFonts w:ascii="Courier New" w:hAnsi="Courier New"/>
    </w:rPr>
  </w:style>
  <w:style w:type="paragraph" w:customStyle="1" w:styleId="NoteBullet">
    <w:name w:val="Note Bullet"/>
    <w:basedOn w:val="Note"/>
    <w:rsid w:val="00B87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C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7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C0D"/>
    <w:rPr>
      <w:b/>
      <w:smallCaps/>
    </w:rPr>
  </w:style>
  <w:style w:type="paragraph" w:customStyle="1" w:styleId="TableListNumber">
    <w:name w:val="Table List Number"/>
    <w:basedOn w:val="ListNumber"/>
    <w:rsid w:val="00B87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C0D"/>
    <w:pPr>
      <w:numPr>
        <w:numId w:val="10"/>
      </w:numPr>
    </w:pPr>
  </w:style>
  <w:style w:type="paragraph" w:customStyle="1" w:styleId="ListAlpha2">
    <w:name w:val="List Alpha 2"/>
    <w:basedOn w:val="List2"/>
    <w:rsid w:val="00B87C0D"/>
    <w:pPr>
      <w:numPr>
        <w:numId w:val="9"/>
      </w:numPr>
    </w:pPr>
  </w:style>
  <w:style w:type="paragraph" w:styleId="List2">
    <w:name w:val="List 2"/>
    <w:basedOn w:val="BodyText"/>
    <w:rsid w:val="00B87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C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7C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7C0D"/>
    <w:pPr>
      <w:numPr>
        <w:numId w:val="5"/>
      </w:numPr>
    </w:pPr>
  </w:style>
  <w:style w:type="paragraph" w:styleId="ListContinue2">
    <w:name w:val="List Continue 2"/>
    <w:basedOn w:val="List2"/>
    <w:rsid w:val="00B87C0D"/>
    <w:pPr>
      <w:ind w:firstLine="0"/>
    </w:pPr>
  </w:style>
  <w:style w:type="paragraph" w:styleId="ListContinue3">
    <w:name w:val="List Continue 3"/>
    <w:basedOn w:val="List3"/>
    <w:rsid w:val="00B87C0D"/>
    <w:pPr>
      <w:ind w:left="1021" w:firstLine="0"/>
    </w:pPr>
  </w:style>
  <w:style w:type="paragraph" w:styleId="ListContinue4">
    <w:name w:val="List Continue 4"/>
    <w:basedOn w:val="List4"/>
    <w:rsid w:val="00B87C0D"/>
    <w:pPr>
      <w:ind w:firstLine="0"/>
    </w:pPr>
  </w:style>
  <w:style w:type="paragraph" w:styleId="ListContinue5">
    <w:name w:val="List Continue 5"/>
    <w:basedOn w:val="List5"/>
    <w:rsid w:val="00B87C0D"/>
    <w:pPr>
      <w:ind w:firstLine="0"/>
    </w:pPr>
  </w:style>
  <w:style w:type="paragraph" w:styleId="ListNumber3">
    <w:name w:val="List Number 3"/>
    <w:basedOn w:val="List3"/>
    <w:rsid w:val="00B87C0D"/>
    <w:pPr>
      <w:numPr>
        <w:numId w:val="6"/>
      </w:numPr>
    </w:pPr>
  </w:style>
  <w:style w:type="paragraph" w:styleId="ListNumber4">
    <w:name w:val="List Number 4"/>
    <w:basedOn w:val="List4"/>
    <w:rsid w:val="00B87C0D"/>
    <w:pPr>
      <w:numPr>
        <w:numId w:val="7"/>
      </w:numPr>
    </w:pPr>
  </w:style>
  <w:style w:type="paragraph" w:styleId="ListNumber5">
    <w:name w:val="List Number 5"/>
    <w:basedOn w:val="List5"/>
    <w:rsid w:val="00B87C0D"/>
    <w:pPr>
      <w:numPr>
        <w:numId w:val="8"/>
      </w:numPr>
    </w:pPr>
  </w:style>
  <w:style w:type="paragraph" w:styleId="BlockText">
    <w:name w:val="Block Text"/>
    <w:basedOn w:val="Normal"/>
    <w:rsid w:val="00B87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C0D"/>
    <w:rPr>
      <w:sz w:val="16"/>
      <w:vertAlign w:val="superscript"/>
    </w:rPr>
  </w:style>
  <w:style w:type="character" w:customStyle="1" w:styleId="Symbols">
    <w:name w:val="Symbols"/>
    <w:basedOn w:val="DefaultParagraphFont"/>
    <w:rsid w:val="00B87C0D"/>
    <w:rPr>
      <w:rFonts w:ascii="Symbol" w:hAnsi="Symbol"/>
    </w:rPr>
  </w:style>
  <w:style w:type="character" w:customStyle="1" w:styleId="MenuOptions">
    <w:name w:val="Menu Options"/>
    <w:basedOn w:val="DefaultParagraphFont"/>
    <w:rsid w:val="00B87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C0D"/>
    <w:rPr>
      <w:b/>
    </w:rPr>
  </w:style>
  <w:style w:type="character" w:customStyle="1" w:styleId="Underlined">
    <w:name w:val="Underlined"/>
    <w:basedOn w:val="DefaultParagraphFont"/>
    <w:rsid w:val="00B87C0D"/>
    <w:rPr>
      <w:u w:val="single"/>
    </w:rPr>
  </w:style>
  <w:style w:type="paragraph" w:customStyle="1" w:styleId="TableBodyTextRight">
    <w:name w:val="Table Body Text Right"/>
    <w:basedOn w:val="TableBodyText"/>
    <w:rsid w:val="00B87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C0D"/>
    <w:rPr>
      <w:sz w:val="18"/>
    </w:rPr>
  </w:style>
  <w:style w:type="paragraph" w:customStyle="1" w:styleId="BodySmallRight">
    <w:name w:val="Body Small Right"/>
    <w:basedOn w:val="BodyTextRight"/>
    <w:rsid w:val="00B87C0D"/>
    <w:rPr>
      <w:sz w:val="18"/>
      <w:szCs w:val="18"/>
    </w:rPr>
  </w:style>
  <w:style w:type="paragraph" w:customStyle="1" w:styleId="MarginEdition">
    <w:name w:val="Margin Edition"/>
    <w:basedOn w:val="MarginNote"/>
    <w:rsid w:val="00B87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C0D"/>
    <w:rPr>
      <w:sz w:val="2"/>
      <w:szCs w:val="2"/>
    </w:rPr>
  </w:style>
  <w:style w:type="character" w:customStyle="1" w:styleId="Small">
    <w:name w:val="Small"/>
    <w:basedOn w:val="DefaultParagraphFont"/>
    <w:rsid w:val="00B87C0D"/>
    <w:rPr>
      <w:sz w:val="16"/>
    </w:rPr>
  </w:style>
  <w:style w:type="paragraph" w:customStyle="1" w:styleId="WideTable">
    <w:name w:val="Wide Table"/>
    <w:basedOn w:val="Normal"/>
    <w:rsid w:val="00B87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C0D"/>
  </w:style>
  <w:style w:type="paragraph" w:styleId="Quote">
    <w:name w:val="Quote"/>
    <w:basedOn w:val="Heading1"/>
    <w:link w:val="QuoteChar"/>
    <w:qFormat/>
    <w:rsid w:val="00B87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C0D"/>
    <w:pPr>
      <w:pageBreakBefore/>
    </w:pPr>
  </w:style>
  <w:style w:type="paragraph" w:customStyle="1" w:styleId="Border">
    <w:name w:val="Border"/>
    <w:basedOn w:val="Normal"/>
    <w:qFormat/>
    <w:rsid w:val="00B87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C0D"/>
    <w:rPr>
      <w:u w:val="single"/>
    </w:rPr>
  </w:style>
  <w:style w:type="character" w:customStyle="1" w:styleId="BoldandItalics">
    <w:name w:val="Bold and Italics"/>
    <w:qFormat/>
    <w:rsid w:val="00B87C0D"/>
    <w:rPr>
      <w:b/>
      <w:i/>
      <w:u w:val="none"/>
    </w:rPr>
  </w:style>
  <w:style w:type="paragraph" w:styleId="BalloonText">
    <w:name w:val="Balloon Text"/>
    <w:basedOn w:val="Normal"/>
    <w:link w:val="BalloonTextChar"/>
    <w:rsid w:val="00B87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C0D"/>
    <w:pPr>
      <w:spacing w:before="0" w:after="0"/>
    </w:pPr>
  </w:style>
  <w:style w:type="paragraph" w:customStyle="1" w:styleId="BodyTextBold">
    <w:name w:val="Body Text Bold"/>
    <w:basedOn w:val="BodyText"/>
    <w:qFormat/>
    <w:rsid w:val="00B87C0D"/>
    <w:rPr>
      <w:b/>
    </w:rPr>
  </w:style>
  <w:style w:type="character" w:styleId="Hyperlink">
    <w:name w:val="Hyperlink"/>
    <w:basedOn w:val="DefaultParagraphFont"/>
    <w:uiPriority w:val="99"/>
    <w:unhideWhenUsed/>
    <w:rsid w:val="00163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5813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RIINHB316D Conduct underground in-seam directional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