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FE4" w:rsidP="00325FE4">
      <w:pPr>
        <w:pStyle w:val="Title"/>
      </w:pPr>
      <w:r>
        <w:fldChar w:fldCharType="begin"/>
      </w:r>
      <w:r>
        <w:instrText xml:space="preserve"> TITLE   \* MERGEFORMAT </w:instrText>
      </w:r>
      <w:r>
        <w:fldChar w:fldCharType="separate"/>
      </w:r>
      <w:r>
        <w:t>Assessment Requirements for RIINHB312D Conduct raise boring</w:t>
      </w:r>
      <w:r>
        <w:fldChar w:fldCharType="end"/>
      </w:r>
    </w:p>
    <w:p w:rsidR="00325FE4" w:rsidP="00325FE4">
      <w:pPr>
        <w:pStyle w:val="Version"/>
        <w:sectPr w:rsidSect="00CF21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138" w:rsidP="00CF2138">
      <w:pPr>
        <w:pStyle w:val="SuperHeading"/>
      </w:pPr>
      <w:r w:rsidRPr="00CF2138">
        <w:t>Assessment Requirements for RIINHB312D Conduct raise boring</w:t>
      </w:r>
    </w:p>
    <w:p w:rsidR="00000000" w:rsidRPr="00CF2138" w:rsidP="00CF2138">
      <w:pPr>
        <w:pStyle w:val="Heading1"/>
      </w:pPr>
      <w:bookmarkStart w:id="1" w:name="O_689628"/>
      <w:bookmarkEnd w:id="1"/>
      <w:r w:rsidRPr="00CF2138">
        <w:t>Modification History</w:t>
      </w:r>
    </w:p>
    <w:tbl>
      <w:tblPr>
        <w:tblW w:w="0" w:type="auto"/>
        <w:tblCellMar>
          <w:left w:w="62" w:type="dxa"/>
          <w:right w:w="62" w:type="dxa"/>
        </w:tblCellMar>
        <w:tblLook w:val="0000"/>
      </w:tblPr>
      <w:tblGrid>
        <w:gridCol w:w="1107"/>
        <w:gridCol w:w="8089"/>
      </w:tblGrid>
      <w:tr w:rsidTr="00325FE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138">
            <w:pPr>
              <w:pStyle w:val="Heading4"/>
              <w:rPr>
                <w:lang w:val="en-NZ"/>
              </w:rPr>
            </w:pPr>
            <w:r w:rsidRPr="00CF213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138">
            <w:pPr>
              <w:pStyle w:val="Heading4"/>
              <w:rPr>
                <w:lang w:val="en-NZ"/>
              </w:rPr>
            </w:pPr>
            <w:r w:rsidRPr="00CF2138">
              <w:t>Comment</w:t>
            </w:r>
          </w:p>
        </w:tc>
      </w:tr>
      <w:tr w:rsidTr="00325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138">
            <w:pPr>
              <w:pStyle w:val="BodyText"/>
              <w:rPr>
                <w:lang w:val="en-NZ"/>
              </w:rPr>
            </w:pPr>
            <w:r w:rsidRPr="00CF213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138">
            <w:pPr>
              <w:pStyle w:val="BodyText"/>
              <w:rPr>
                <w:lang w:val="en-NZ"/>
              </w:rPr>
            </w:pPr>
            <w:r w:rsidRPr="00CF2138">
              <w:t>This unit replaces RIINHB312A Conduct raise boring</w:t>
            </w:r>
          </w:p>
        </w:tc>
      </w:tr>
      <w:tr w:rsidTr="00325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2138">
            <w:pPr>
              <w:pStyle w:val="BodyText"/>
              <w:rPr>
                <w:lang w:val="en-NZ"/>
              </w:rPr>
            </w:pPr>
            <w:r w:rsidRPr="00CF213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2138" w:rsidP="00CF2138">
            <w:pPr>
              <w:pStyle w:val="BodyText"/>
            </w:pPr>
            <w:r w:rsidRPr="00CF2138">
              <w:t>Required frequency and volume of evidence amended in Performance evidence.</w:t>
            </w:r>
          </w:p>
          <w:p w:rsidR="00000000" w:rsidRPr="00CF2138" w:rsidP="00CF2138">
            <w:pPr>
              <w:pStyle w:val="BodyText"/>
            </w:pPr>
            <w:r w:rsidRPr="00CF2138">
              <w:t xml:space="preserve">Substantial amendments made in Assessment Conditions field, including: </w:t>
            </w:r>
            <w:r w:rsidRPr="00CF2138">
              <w:t>references to Industry Sectors, assessor and subject matter expert experience requirements, how assessment should be conducted and what it should confirm.</w:t>
            </w:r>
          </w:p>
        </w:tc>
      </w:tr>
    </w:tbl>
    <w:p w:rsidR="00000000" w:rsidRPr="00CF2138" w:rsidP="00CF2138">
      <w:pPr>
        <w:pStyle w:val="BodyText"/>
      </w:pPr>
    </w:p>
    <w:p w:rsidR="00000000" w:rsidRPr="00CF2138" w:rsidP="00CF2138">
      <w:pPr>
        <w:pStyle w:val="AllowPageBreak"/>
      </w:pPr>
    </w:p>
    <w:p w:rsidR="00000000" w:rsidRPr="00CF2138" w:rsidP="00CF2138">
      <w:pPr>
        <w:pStyle w:val="Heading1"/>
      </w:pPr>
      <w:bookmarkStart w:id="2" w:name="O_689627"/>
      <w:bookmarkEnd w:id="2"/>
      <w:r w:rsidRPr="00CF2138">
        <w:t>Performance Evidence</w:t>
      </w:r>
    </w:p>
    <w:p w:rsidR="00000000" w:rsidRPr="00CF2138" w:rsidP="00325FE4">
      <w:pPr>
        <w:pStyle w:val="BodyText"/>
      </w:pPr>
      <w:r w:rsidRPr="00CF2138">
        <w:t>Evidence is required to be collected that demonstrates a candidate’s competency in this unit. Evidence must be relevant to the roles within this sector’s work operations and satisfy all of the requirements of the performance criteria of this unit and inclu</w:t>
      </w:r>
      <w:r w:rsidRPr="00CF2138">
        <w:t>de evidence that the candidate:</w:t>
      </w:r>
    </w:p>
    <w:p w:rsidR="00000000" w:rsidRPr="00CF2138" w:rsidP="00CF2138">
      <w:pPr>
        <w:pStyle w:val="ListBullet2"/>
      </w:pPr>
      <w:r w:rsidRPr="00CF2138">
        <w:t>locates and applies relevant documentation, policies and procedures</w:t>
      </w:r>
    </w:p>
    <w:p w:rsidR="00000000" w:rsidRPr="00CF2138" w:rsidP="00CF2138">
      <w:pPr>
        <w:pStyle w:val="ListBullet2"/>
      </w:pPr>
      <w:r w:rsidRPr="00CF2138">
        <w:t>implements the requirements, procedures and techniques for the safe, effective and efficient conducting of raise boring including:</w:t>
      </w:r>
    </w:p>
    <w:p w:rsidR="00000000" w:rsidRPr="00CF2138" w:rsidP="00CF2138">
      <w:pPr>
        <w:pStyle w:val="ListBullet3"/>
      </w:pPr>
      <w:r w:rsidRPr="00CF2138">
        <w:t>using clinometers</w:t>
      </w:r>
    </w:p>
    <w:p w:rsidR="00000000" w:rsidRPr="00CF2138" w:rsidP="00CF2138">
      <w:pPr>
        <w:pStyle w:val="ListBullet3"/>
      </w:pPr>
      <w:r w:rsidRPr="00CF2138">
        <w:t>readi</w:t>
      </w:r>
      <w:r w:rsidRPr="00CF2138">
        <w:t>ng and interpreting plans</w:t>
      </w:r>
    </w:p>
    <w:p w:rsidR="00000000" w:rsidRPr="00CF2138" w:rsidP="00CF2138">
      <w:pPr>
        <w:pStyle w:val="ListBullet3"/>
      </w:pPr>
      <w:r w:rsidRPr="00CF2138">
        <w:t>selecting and using relevant tools</w:t>
      </w:r>
    </w:p>
    <w:p w:rsidR="00000000" w:rsidRPr="00CF2138" w:rsidP="00CF2138">
      <w:pPr>
        <w:pStyle w:val="ListBullet3"/>
      </w:pPr>
      <w:r w:rsidRPr="00CF2138">
        <w:t>setting up and loading the rod rack</w:t>
      </w:r>
    </w:p>
    <w:p w:rsidR="00000000" w:rsidRPr="00CF2138" w:rsidP="00CF2138">
      <w:pPr>
        <w:pStyle w:val="ListBullet3"/>
      </w:pPr>
      <w:r w:rsidRPr="00CF2138">
        <w:t>setting up and aligning a raise bore in readiness for drilling</w:t>
      </w:r>
    </w:p>
    <w:p w:rsidR="00000000" w:rsidRPr="00CF2138" w:rsidP="00CF2138">
      <w:pPr>
        <w:pStyle w:val="ListBullet3"/>
      </w:pPr>
      <w:r w:rsidRPr="00CF2138">
        <w:t>attaching and remove drill rods, bits and reamers</w:t>
      </w:r>
    </w:p>
    <w:p w:rsidR="00000000" w:rsidRPr="00CF2138" w:rsidP="00CF2138">
      <w:pPr>
        <w:pStyle w:val="ListBullet3"/>
      </w:pPr>
      <w:r w:rsidRPr="00CF2138">
        <w:t>calculating and setting drill angles</w:t>
      </w:r>
    </w:p>
    <w:p w:rsidR="00000000" w:rsidRPr="00CF2138" w:rsidP="00CF2138">
      <w:pPr>
        <w:pStyle w:val="ListBullet2"/>
      </w:pPr>
      <w:r w:rsidRPr="00CF2138">
        <w:t>works ef</w:t>
      </w:r>
      <w:r w:rsidRPr="00CF2138">
        <w:t>fectively with others to undertake and complete raise boring that meets all of the required outcomes including:</w:t>
      </w:r>
    </w:p>
    <w:p w:rsidR="00000000" w:rsidRPr="00CF2138" w:rsidP="00CF2138">
      <w:pPr>
        <w:pStyle w:val="ListBullet3"/>
      </w:pPr>
      <w:r w:rsidRPr="00CF2138">
        <w:t>complying with written and verbal reporting requirements and procedures</w:t>
      </w:r>
    </w:p>
    <w:p w:rsidR="00000000" w:rsidRPr="00CF2138" w:rsidP="00CF2138">
      <w:pPr>
        <w:pStyle w:val="ListBullet3"/>
      </w:pPr>
      <w:r w:rsidRPr="00CF2138">
        <w:t xml:space="preserve">communicating clearly and concisely with others to receive and clarify </w:t>
      </w:r>
      <w:r w:rsidRPr="00CF2138">
        <w:t>work instructions</w:t>
      </w:r>
    </w:p>
    <w:p w:rsidR="00000000" w:rsidRPr="00CF2138" w:rsidP="00CF2138">
      <w:pPr>
        <w:pStyle w:val="ListBullet3"/>
      </w:pPr>
      <w:r w:rsidRPr="00CF2138">
        <w:t>communicating clearly and concisely with others to resolve coordination requirements prior to commencing and during work activities</w:t>
      </w:r>
    </w:p>
    <w:p w:rsidR="00000000" w:rsidRPr="00CF2138" w:rsidP="00CF2138">
      <w:pPr>
        <w:pStyle w:val="ListBullet"/>
      </w:pPr>
      <w:r w:rsidRPr="00CF2138">
        <w:t xml:space="preserve">demonstrates completion of raise boring that safely, effectively and efficiently meets all </w:t>
      </w:r>
      <w:r w:rsidRPr="00CF2138">
        <w:t>of the required outcomes on more than one (1) occasion including:</w:t>
      </w:r>
    </w:p>
    <w:p w:rsidR="00000000" w:rsidRPr="00CF2138" w:rsidP="00CF2138">
      <w:pPr>
        <w:pStyle w:val="ListBullet3"/>
      </w:pPr>
      <w:r w:rsidRPr="00CF2138">
        <w:t>confirming and setting drill direction accurately and collaring hole as specified in the drill plan</w:t>
      </w:r>
    </w:p>
    <w:p w:rsidR="00000000" w:rsidRPr="00CF2138" w:rsidP="00CF2138">
      <w:pPr>
        <w:pStyle w:val="ListBullet3"/>
      </w:pPr>
      <w:r w:rsidRPr="00CF2138">
        <w:t>installing assemblies in collared hole to allow pilot hole drilling</w:t>
      </w:r>
    </w:p>
    <w:p w:rsidR="00000000" w:rsidRPr="00CF2138" w:rsidP="00CF2138">
      <w:pPr>
        <w:pStyle w:val="ListBullet3"/>
      </w:pPr>
      <w:r w:rsidRPr="00CF2138">
        <w:t>interpreting drill pl</w:t>
      </w:r>
      <w:r w:rsidRPr="00CF2138">
        <w:t>ans and drilling holes to design</w:t>
      </w:r>
    </w:p>
    <w:p w:rsidR="00000000" w:rsidRPr="00CF2138" w:rsidP="00CF2138">
      <w:pPr>
        <w:pStyle w:val="ListBullet3"/>
      </w:pPr>
      <w:r w:rsidRPr="00CF2138">
        <w:t xml:space="preserve">carrying out and monitor drill </w:t>
      </w:r>
      <w:r>
        <w:t>“</w:t>
      </w:r>
      <w:r w:rsidRPr="00CF2138">
        <w:t>break-through</w:t>
      </w:r>
      <w:r>
        <w:t>”</w:t>
      </w:r>
      <w:r w:rsidRPr="00CF2138">
        <w:t xml:space="preserve"> procedures and inspecting break through</w:t>
      </w:r>
    </w:p>
    <w:p w:rsidR="00000000" w:rsidRPr="00CF2138" w:rsidP="00CF2138">
      <w:pPr>
        <w:pStyle w:val="ListBullet3"/>
      </w:pPr>
      <w:r w:rsidRPr="00CF2138">
        <w:t>coordinating personnel to attach the reaming head to drill string</w:t>
      </w:r>
    </w:p>
    <w:p w:rsidR="00000000" w:rsidRPr="00CF2138" w:rsidP="00CF2138">
      <w:pPr>
        <w:pStyle w:val="ListBullet3"/>
      </w:pPr>
      <w:r w:rsidRPr="00CF2138">
        <w:t>monitoring ground conditions and adjusting reaming techniques to maint</w:t>
      </w:r>
      <w:r w:rsidRPr="00CF2138">
        <w:t>ain efficient drilling operations</w:t>
      </w:r>
    </w:p>
    <w:p w:rsidR="00000000" w:rsidRPr="00CF2138" w:rsidP="00CF2138">
      <w:pPr>
        <w:pStyle w:val="AllowPageBreak"/>
      </w:pPr>
    </w:p>
    <w:p w:rsidR="00000000" w:rsidRPr="00CF2138" w:rsidP="00CF2138">
      <w:pPr>
        <w:pStyle w:val="Heading1"/>
      </w:pPr>
      <w:bookmarkStart w:id="3" w:name="O_689626"/>
      <w:bookmarkEnd w:id="3"/>
      <w:r w:rsidRPr="00CF2138">
        <w:t>Knowledge Evidence</w:t>
      </w:r>
    </w:p>
    <w:p w:rsidR="00000000" w:rsidRPr="00CF2138" w:rsidP="00325FE4">
      <w:pPr>
        <w:pStyle w:val="BodyText"/>
      </w:pPr>
      <w:r w:rsidRPr="00CF2138">
        <w:t>The candidate must demonstrate knowledge in conducting raise boring through:</w:t>
      </w:r>
    </w:p>
    <w:p w:rsidR="00000000" w:rsidRPr="00CF2138" w:rsidP="00CF2138">
      <w:pPr>
        <w:pStyle w:val="ListBullet2"/>
      </w:pPr>
      <w:r w:rsidRPr="00CF2138">
        <w:t>accessing, interpreting and applying the organisation and site requirements and procedures for:</w:t>
      </w:r>
    </w:p>
    <w:p w:rsidR="00000000" w:rsidRPr="00CF2138" w:rsidP="00CF2138">
      <w:pPr>
        <w:pStyle w:val="ListBullet3"/>
      </w:pPr>
      <w:r w:rsidRPr="00CF2138">
        <w:t>work, health and safety</w:t>
      </w:r>
    </w:p>
    <w:p w:rsidR="00000000" w:rsidRPr="00CF2138" w:rsidP="00CF2138">
      <w:pPr>
        <w:pStyle w:val="ListBullet3"/>
      </w:pPr>
      <w:r w:rsidRPr="00CF2138">
        <w:t>environmental issues</w:t>
      </w:r>
    </w:p>
    <w:p w:rsidR="00000000" w:rsidRPr="00CF2138" w:rsidP="00CF2138">
      <w:pPr>
        <w:pStyle w:val="ListBullet3"/>
      </w:pPr>
      <w:r w:rsidRPr="00CF2138">
        <w:t>operating drill rig</w:t>
      </w:r>
    </w:p>
    <w:p w:rsidR="00000000" w:rsidRPr="00CF2138" w:rsidP="00CF2138">
      <w:pPr>
        <w:pStyle w:val="ListBullet3"/>
      </w:pPr>
      <w:r w:rsidRPr="00CF2138">
        <w:t>housekeeping</w:t>
      </w:r>
    </w:p>
    <w:p w:rsidR="00000000" w:rsidRPr="00CF2138" w:rsidP="00CF2138">
      <w:pPr>
        <w:pStyle w:val="ListBullet3"/>
      </w:pPr>
      <w:r w:rsidRPr="00CF2138">
        <w:t>operating auxiliary services</w:t>
      </w:r>
    </w:p>
    <w:p w:rsidR="00000000" w:rsidRPr="00CF2138" w:rsidP="00CF2138">
      <w:pPr>
        <w:pStyle w:val="ListBullet3"/>
      </w:pPr>
      <w:r w:rsidRPr="00CF2138">
        <w:t>equipment cleaning</w:t>
      </w:r>
    </w:p>
    <w:p w:rsidR="00000000" w:rsidRPr="00CF2138" w:rsidP="00CF2138">
      <w:pPr>
        <w:pStyle w:val="ListBullet3"/>
      </w:pPr>
      <w:r w:rsidRPr="00CF2138">
        <w:t>identifying down hole problems</w:t>
      </w:r>
    </w:p>
    <w:p w:rsidR="00000000" w:rsidRPr="00CF2138" w:rsidP="00CF2138">
      <w:pPr>
        <w:pStyle w:val="ListBullet3"/>
      </w:pPr>
      <w:r w:rsidRPr="00CF2138">
        <w:t>site and equipment inspections</w:t>
      </w:r>
    </w:p>
    <w:p w:rsidR="00000000" w:rsidRPr="00CF2138" w:rsidP="00CF2138">
      <w:pPr>
        <w:pStyle w:val="ListBullet2"/>
      </w:pPr>
      <w:r w:rsidRPr="00CF2138">
        <w:t>understanding drilling equipment processes, technical capability an</w:t>
      </w:r>
      <w:r w:rsidRPr="00CF2138">
        <w:t>d limitations</w:t>
      </w:r>
    </w:p>
    <w:p w:rsidR="00000000" w:rsidRPr="00CF2138" w:rsidP="00CF2138">
      <w:pPr>
        <w:pStyle w:val="ListBullet2"/>
      </w:pPr>
      <w:r w:rsidRPr="00CF2138">
        <w:t xml:space="preserve">accessing, interpreting and applying geological and technical data </w:t>
      </w:r>
    </w:p>
    <w:p w:rsidR="00000000" w:rsidRPr="00CF2138" w:rsidP="00CF2138">
      <w:pPr>
        <w:pStyle w:val="ListBullet2"/>
      </w:pPr>
      <w:r w:rsidRPr="00CF2138">
        <w:t>site isolation procedures</w:t>
      </w:r>
    </w:p>
    <w:p w:rsidR="00000000" w:rsidRPr="00CF2138" w:rsidP="00CF2138">
      <w:pPr>
        <w:pStyle w:val="ListBullet2"/>
      </w:pPr>
      <w:r w:rsidRPr="00CF2138">
        <w:t>manufacturer’s specifications</w:t>
      </w:r>
    </w:p>
    <w:p w:rsidR="00000000" w:rsidRPr="00CF2138" w:rsidP="00CF2138">
      <w:pPr>
        <w:pStyle w:val="ListBullet2"/>
      </w:pPr>
      <w:r w:rsidRPr="00CF2138">
        <w:t>recovery procedures</w:t>
      </w:r>
    </w:p>
    <w:p w:rsidR="00000000" w:rsidRPr="00CF2138" w:rsidP="00CF2138">
      <w:pPr>
        <w:pStyle w:val="ListBullet2"/>
      </w:pPr>
      <w:r w:rsidRPr="00CF2138">
        <w:t>the start-up and shutdown procedures</w:t>
      </w:r>
    </w:p>
    <w:p w:rsidR="00000000" w:rsidRPr="00CF2138" w:rsidP="00CF2138">
      <w:pPr>
        <w:pStyle w:val="ListBullet2"/>
      </w:pPr>
      <w:r w:rsidRPr="00CF2138">
        <w:t>site storage procedures</w:t>
      </w:r>
    </w:p>
    <w:p w:rsidR="00000000" w:rsidRPr="00CF2138" w:rsidP="00CF2138">
      <w:pPr>
        <w:pStyle w:val="ListBullet2"/>
      </w:pPr>
      <w:r w:rsidRPr="00CF2138">
        <w:t>site towing procedures</w:t>
      </w:r>
    </w:p>
    <w:p w:rsidR="00000000" w:rsidRPr="00CF2138" w:rsidP="00CF2138">
      <w:pPr>
        <w:pStyle w:val="ListBullet2"/>
      </w:pPr>
      <w:r w:rsidRPr="00CF2138">
        <w:t xml:space="preserve">underground procedures </w:t>
      </w:r>
    </w:p>
    <w:p w:rsidR="00000000" w:rsidRPr="00CF2138" w:rsidP="00CF2138">
      <w:pPr>
        <w:pStyle w:val="ListBullet2"/>
      </w:pPr>
      <w:r w:rsidRPr="00CF2138">
        <w:t>and dealing with misfires</w:t>
      </w:r>
    </w:p>
    <w:p w:rsidR="00000000" w:rsidRPr="00CF2138" w:rsidP="00CF2138">
      <w:pPr>
        <w:pStyle w:val="ListBullet2"/>
      </w:pPr>
      <w:r w:rsidRPr="00CF2138">
        <w:t>being prepared for fire/accident/emergency</w:t>
      </w:r>
    </w:p>
    <w:p w:rsidR="00000000" w:rsidRPr="00CF2138" w:rsidP="00CF2138">
      <w:pPr>
        <w:pStyle w:val="AllowPageBreak"/>
      </w:pPr>
    </w:p>
    <w:p w:rsidR="00000000" w:rsidRPr="00CF2138" w:rsidP="00CF2138">
      <w:pPr>
        <w:pStyle w:val="Heading1"/>
      </w:pPr>
      <w:bookmarkStart w:id="4" w:name="O_689625"/>
      <w:bookmarkEnd w:id="4"/>
      <w:r w:rsidRPr="00CF2138">
        <w:t>Assessment Conditions</w:t>
      </w:r>
    </w:p>
    <w:p w:rsidR="00000000" w:rsidRPr="00CF2138" w:rsidP="00CF2138">
      <w:pPr>
        <w:pStyle w:val="ListBullet"/>
      </w:pPr>
      <w:r w:rsidRPr="00CF2138">
        <w:t>An assessor of this unit must satisfy the requirements of the NVR/AQTF or their successors; and Industry regulations for ce</w:t>
      </w:r>
      <w:r w:rsidRPr="00CF2138">
        <w:t xml:space="preserve">rtification and licensing; and, </w:t>
      </w:r>
    </w:p>
    <w:p w:rsidR="00000000" w:rsidRPr="00CF2138" w:rsidP="00CF2138">
      <w:pPr>
        <w:pStyle w:val="ListBullet"/>
      </w:pPr>
      <w:r w:rsidRPr="00CF2138">
        <w:t>this unit must be assessed in the context of this sector’s work environment; and,</w:t>
      </w:r>
    </w:p>
    <w:p w:rsidR="00000000" w:rsidRPr="00CF2138" w:rsidP="00CF2138">
      <w:pPr>
        <w:pStyle w:val="ListBullet"/>
      </w:pPr>
      <w:r w:rsidRPr="00CF2138">
        <w:t>this unit must be assessed in compliance with relevant legislation/regulation and using policies, procedures, processes and operational manua</w:t>
      </w:r>
      <w:r w:rsidRPr="00CF2138">
        <w:t>ls directly related to the industry sector for which it is being assessed; and,</w:t>
      </w:r>
    </w:p>
    <w:p w:rsidR="00000000" w:rsidRPr="00CF2138" w:rsidP="00CF2138">
      <w:pPr>
        <w:pStyle w:val="ListBullet"/>
      </w:pPr>
      <w:r w:rsidRPr="00CF2138">
        <w:t>assessment may be conducted in conjunction with the assessment of other Units of Competency; and,</w:t>
      </w:r>
    </w:p>
    <w:p w:rsidR="00000000" w:rsidRPr="00CF2138" w:rsidP="00CF2138">
      <w:pPr>
        <w:pStyle w:val="ListBullet"/>
      </w:pPr>
      <w:r w:rsidRPr="00CF2138">
        <w:t>assessment must confirm consistent performance can be applied in a range of re</w:t>
      </w:r>
      <w:r w:rsidRPr="00CF2138">
        <w:t>levant workplace circumstances; and,</w:t>
      </w:r>
    </w:p>
    <w:p w:rsidR="00000000" w:rsidRPr="00CF2138" w:rsidP="00CF2138">
      <w:pPr>
        <w:pStyle w:val="ListBullet"/>
      </w:pPr>
      <w:r w:rsidRPr="00CF2138">
        <w:t>assessors must demonstrate the performance evidence, and knowledge evidence as outlined in this Unit of Competency, and through the minimum years of current* work experience specified below in an Industry sector relevan</w:t>
      </w:r>
      <w:r w:rsidRPr="00CF2138">
        <w:t>t to the outcomes of the unit; or,</w:t>
      </w:r>
    </w:p>
    <w:p w:rsidR="00000000" w:rsidRPr="00CF2138" w:rsidP="00CF2138">
      <w:pPr>
        <w:pStyle w:val="ListBullet"/>
      </w:pPr>
      <w:r w:rsidRPr="00CF2138">
        <w:t>where the assessor does not meet experience requirements a co-assessment or partnership arrangement must exist between the qualified assessor and an Industry subject matter expert. The Industry subject matter expert shoul</w:t>
      </w:r>
      <w:r w:rsidRPr="00CF2138">
        <w:t>d hold the unit being assessed (or an equivalent unit) and/or demonstrate equivalence of skills and knowledge at the unit level. An Industry technical expert must also demonstrate skills and knowledge from the minimum years of current work experience speci</w:t>
      </w:r>
      <w:r w:rsidRPr="00CF2138">
        <w:t>fied below in the Industry sector, including time spent in roles related to the unit being assessed; and,</w:t>
      </w:r>
    </w:p>
    <w:p w:rsidR="00000000" w:rsidRPr="00CF2138" w:rsidP="00CF2138">
      <w:pPr>
        <w:pStyle w:val="ListBullet"/>
      </w:pPr>
      <w:r w:rsidRPr="00CF213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F21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Heading4"/>
              <w:rPr>
                <w:lang w:val="en-NZ"/>
              </w:rPr>
            </w:pPr>
            <w:r w:rsidRPr="00CF213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Heading4"/>
              <w:rPr>
                <w:lang w:val="en-NZ"/>
              </w:rPr>
            </w:pPr>
            <w:r w:rsidRPr="00CF213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Heading4"/>
              <w:rPr>
                <w:lang w:val="en-NZ"/>
              </w:rPr>
            </w:pPr>
            <w:r w:rsidRPr="00CF2138">
              <w:t>Required assessor or Industr</w:t>
            </w:r>
            <w:r w:rsidRPr="00CF2138">
              <w:t>y subject matter expert experience</w:t>
            </w:r>
          </w:p>
        </w:tc>
      </w:tr>
      <w:tr w:rsidTr="00CF213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1 Year</w:t>
            </w:r>
          </w:p>
        </w:tc>
      </w:tr>
      <w:tr w:rsidTr="00CF213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2 Years</w:t>
            </w:r>
          </w:p>
        </w:tc>
      </w:tr>
      <w:tr w:rsidTr="00CF21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3 Years</w:t>
            </w:r>
          </w:p>
        </w:tc>
      </w:tr>
      <w:tr w:rsidTr="00CF21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5 Years</w:t>
            </w:r>
          </w:p>
        </w:tc>
      </w:tr>
      <w:tr w:rsidTr="00CF21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2138">
            <w:pPr>
              <w:pStyle w:val="BodyText"/>
              <w:rPr>
                <w:lang w:val="en-NZ"/>
              </w:rPr>
            </w:pPr>
            <w:r w:rsidRPr="00CF213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2138" w:rsidP="00CF2138">
            <w:pPr>
              <w:pStyle w:val="BodyText"/>
            </w:pPr>
            <w:r w:rsidRPr="00CF2138">
              <w:t xml:space="preserve">Where this Unit is being assessed outside of the Resources and Infrastructure Sectors assessor and/or Industry subject matter expert experience </w:t>
            </w:r>
            <w:r w:rsidRPr="00CF2138">
              <w:t>should be in-line with industry standards for the sector in which it is being assessed and where no Industry standard is specified should comply with any relevant regulation.</w:t>
            </w:r>
          </w:p>
        </w:tc>
      </w:tr>
    </w:tbl>
    <w:p w:rsidR="00000000" w:rsidRPr="00CF2138" w:rsidP="00325FE4">
      <w:pPr>
        <w:pStyle w:val="BodyText"/>
      </w:pPr>
      <w:r w:rsidRPr="00CF2138">
        <w:t>*Assessors can demonstrate current work experience through employment within In</w:t>
      </w:r>
      <w:r w:rsidRPr="00CF2138">
        <w:t>dustry in a role relevant to the outcomes of the Unit; or, for external assessors this can be demonstrated through exposure to Industry by conducting frequent site assessments across various locations.</w:t>
      </w:r>
    </w:p>
    <w:p w:rsidR="00325FE4" w:rsidP="00325FE4">
      <w:pPr>
        <w:pStyle w:val="BodyText"/>
      </w:pPr>
      <w:r w:rsidRPr="00CF2138">
        <w:t>**Where a unit is being delivered outside of a Qualifi</w:t>
      </w:r>
      <w:r w:rsidRPr="00CF2138">
        <w:t>cation the first numeric character in the Unit code should be considered to indicate the AQF level</w:t>
      </w:r>
    </w:p>
    <w:p w:rsidR="00000000" w:rsidRPr="00CF2138" w:rsidP="00CF2138">
      <w:pPr>
        <w:pStyle w:val="Heading1"/>
      </w:pPr>
      <w:bookmarkStart w:id="5" w:name="O_689648"/>
      <w:bookmarkEnd w:id="5"/>
      <w:r w:rsidRPr="00CF2138">
        <w:t>Links</w:t>
      </w:r>
    </w:p>
    <w:p w:rsidR="00000000" w:rsidRPr="00CF2138" w:rsidP="00325FE4">
      <w:pPr>
        <w:pStyle w:val="BodyText"/>
      </w:pPr>
      <w:r w:rsidRPr="00CF21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17EE7">
        <w:rPr>
          <w:rStyle w:val="Hyperlink"/>
        </w:rPr>
        <w:t>https://vetnet.gov.au/Pages/TrainingDocs.aspx?q=88a61002-9a21-4386-aaf8-69c76e675272</w:t>
      </w:r>
      <w:r>
        <w:fldChar w:fldCharType="end"/>
      </w:r>
    </w:p>
    <w:p w:rsidR="00000000" w:rsidRPr="00CF2138" w:rsidP="00CF2138"/>
    <w:sectPr w:rsidSect="00CF21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38" w:rsidRPr="00325FE4" w:rsidP="00325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E4" w:rsidP="00CF21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FE4" w:rsidP="00CF21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5FE4" w:rsidP="00CF21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138" w:rsidRPr="00325FE4" w:rsidP="00325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1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E4" w:rsidRPr="002D2AF8" w:rsidP="00CF2138">
    <w:pPr>
      <w:pStyle w:val="Header"/>
      <w:framePr w:wrap="around"/>
    </w:pPr>
    <w:r>
      <w:fldChar w:fldCharType="begin"/>
    </w:r>
    <w:r>
      <w:instrText xml:space="preserve"> TITLE   \* MERGEFORMAT </w:instrText>
    </w:r>
    <w:r>
      <w:fldChar w:fldCharType="separate"/>
    </w:r>
    <w:r>
      <w:t>Assessment Requirements for RIINHB312D Conduct raise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5FE4" w:rsidP="00CF21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CD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C4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65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138"/>
    <w:pPr>
      <w:spacing w:before="360" w:after="60"/>
      <w:outlineLvl w:val="0"/>
    </w:pPr>
    <w:rPr>
      <w:sz w:val="32"/>
    </w:rPr>
  </w:style>
  <w:style w:type="paragraph" w:styleId="Heading2">
    <w:name w:val="heading 2"/>
    <w:basedOn w:val="HeadingBase"/>
    <w:next w:val="BodyText"/>
    <w:link w:val="Heading2Char"/>
    <w:qFormat/>
    <w:rsid w:val="00CF2138"/>
    <w:pPr>
      <w:keepLines/>
      <w:spacing w:before="240" w:after="120"/>
      <w:outlineLvl w:val="1"/>
    </w:pPr>
    <w:rPr>
      <w:sz w:val="28"/>
      <w:szCs w:val="40"/>
    </w:rPr>
  </w:style>
  <w:style w:type="paragraph" w:styleId="Heading3">
    <w:name w:val="heading 3"/>
    <w:basedOn w:val="HeadingBase"/>
    <w:next w:val="BodyText"/>
    <w:link w:val="Heading3Char"/>
    <w:qFormat/>
    <w:rsid w:val="00CF2138"/>
    <w:pPr>
      <w:spacing w:before="180" w:after="120"/>
      <w:outlineLvl w:val="2"/>
    </w:pPr>
    <w:rPr>
      <w:spacing w:val="-10"/>
      <w:kern w:val="32"/>
    </w:rPr>
  </w:style>
  <w:style w:type="paragraph" w:styleId="Heading4">
    <w:name w:val="heading 4"/>
    <w:basedOn w:val="HeadingBase"/>
    <w:next w:val="BodyText"/>
    <w:link w:val="Heading4Char"/>
    <w:qFormat/>
    <w:rsid w:val="00CF2138"/>
    <w:pPr>
      <w:spacing w:before="160" w:after="120"/>
      <w:outlineLvl w:val="3"/>
    </w:pPr>
    <w:rPr>
      <w:sz w:val="22"/>
    </w:rPr>
  </w:style>
  <w:style w:type="paragraph" w:styleId="Heading5">
    <w:name w:val="heading 5"/>
    <w:basedOn w:val="HeadingBase"/>
    <w:next w:val="Normal"/>
    <w:link w:val="Heading5Char"/>
    <w:qFormat/>
    <w:rsid w:val="00CF2138"/>
    <w:pPr>
      <w:spacing w:before="80"/>
      <w:outlineLvl w:val="4"/>
    </w:pPr>
    <w:rPr>
      <w:color w:val="918585"/>
      <w:sz w:val="20"/>
    </w:rPr>
  </w:style>
  <w:style w:type="paragraph" w:styleId="Heading6">
    <w:name w:val="heading 6"/>
    <w:basedOn w:val="HeadingBase"/>
    <w:next w:val="Normal"/>
    <w:link w:val="Heading6Char"/>
    <w:qFormat/>
    <w:rsid w:val="00CF2138"/>
    <w:pPr>
      <w:spacing w:before="60"/>
      <w:outlineLvl w:val="5"/>
    </w:pPr>
    <w:rPr>
      <w:color w:val="918585"/>
      <w:sz w:val="20"/>
    </w:rPr>
  </w:style>
  <w:style w:type="paragraph" w:styleId="Heading7">
    <w:name w:val="heading 7"/>
    <w:basedOn w:val="Normal"/>
    <w:next w:val="Normal"/>
    <w:link w:val="Heading7Char"/>
    <w:qFormat/>
    <w:rsid w:val="00CF2138"/>
    <w:pPr>
      <w:ind w:left="720"/>
      <w:outlineLvl w:val="6"/>
    </w:pPr>
    <w:rPr>
      <w:i/>
    </w:rPr>
  </w:style>
  <w:style w:type="paragraph" w:styleId="Heading8">
    <w:name w:val="heading 8"/>
    <w:basedOn w:val="Normal"/>
    <w:next w:val="Normal"/>
    <w:link w:val="Heading8Char"/>
    <w:qFormat/>
    <w:rsid w:val="00CF2138"/>
    <w:pPr>
      <w:ind w:left="720"/>
      <w:outlineLvl w:val="7"/>
    </w:pPr>
    <w:rPr>
      <w:i/>
    </w:rPr>
  </w:style>
  <w:style w:type="paragraph" w:styleId="Heading9">
    <w:name w:val="heading 9"/>
    <w:basedOn w:val="Normal"/>
    <w:next w:val="Normal"/>
    <w:link w:val="Heading9Char"/>
    <w:qFormat/>
    <w:rsid w:val="00CF2138"/>
    <w:pPr>
      <w:ind w:left="720"/>
      <w:outlineLvl w:val="8"/>
    </w:pPr>
    <w:rPr>
      <w:i/>
    </w:rPr>
  </w:style>
  <w:style w:type="character" w:default="1" w:styleId="DefaultParagraphFont">
    <w:name w:val="Default Paragraph Font"/>
    <w:uiPriority w:val="1"/>
    <w:unhideWhenUsed/>
    <w:rsid w:val="00CF21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138"/>
  </w:style>
  <w:style w:type="character" w:customStyle="1" w:styleId="Heading1Char">
    <w:name w:val="Heading 1 Char"/>
    <w:basedOn w:val="DefaultParagraphFont"/>
    <w:link w:val="Heading1"/>
    <w:rsid w:val="00CF21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2138"/>
    <w:rPr>
      <w:rFonts w:ascii="Times New Roman" w:eastAsia="Times New Roman" w:hAnsi="Times New Roman" w:cs="Times New Roman"/>
      <w:b/>
      <w:szCs w:val="20"/>
      <w:lang w:eastAsia="en-US"/>
    </w:rPr>
  </w:style>
  <w:style w:type="paragraph" w:styleId="BodyText">
    <w:name w:val="Body Text"/>
    <w:basedOn w:val="Normal"/>
    <w:link w:val="BodyTextChar"/>
    <w:rsid w:val="00CF21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138"/>
    <w:rPr>
      <w:rFonts w:ascii="Times New Roman" w:eastAsia="Times New Roman" w:hAnsi="Times New Roman" w:cs="Times New Roman"/>
      <w:sz w:val="24"/>
      <w:lang w:eastAsia="en-US"/>
    </w:rPr>
  </w:style>
  <w:style w:type="paragraph" w:styleId="ListBullet">
    <w:name w:val="List Bullet"/>
    <w:basedOn w:val="List"/>
    <w:rsid w:val="00CF2138"/>
    <w:pPr>
      <w:numPr>
        <w:numId w:val="13"/>
      </w:numPr>
      <w:tabs>
        <w:tab w:val="clear" w:pos="340"/>
      </w:tabs>
      <w:spacing w:before="40" w:after="40"/>
    </w:pPr>
  </w:style>
  <w:style w:type="paragraph" w:styleId="ListBullet2">
    <w:name w:val="List Bullet 2"/>
    <w:basedOn w:val="List2"/>
    <w:rsid w:val="00CF2138"/>
    <w:pPr>
      <w:numPr>
        <w:numId w:val="14"/>
      </w:numPr>
      <w:tabs>
        <w:tab w:val="clear" w:pos="680"/>
      </w:tabs>
    </w:pPr>
  </w:style>
  <w:style w:type="paragraph" w:customStyle="1" w:styleId="SuperHeading">
    <w:name w:val="SuperHeading"/>
    <w:basedOn w:val="Normal"/>
    <w:rsid w:val="00CF2138"/>
    <w:pPr>
      <w:spacing w:before="240" w:after="120"/>
      <w:outlineLvl w:val="0"/>
    </w:pPr>
    <w:rPr>
      <w:rFonts w:ascii="Times New Roman" w:hAnsi="Times New Roman"/>
      <w:b/>
      <w:sz w:val="32"/>
    </w:rPr>
  </w:style>
  <w:style w:type="paragraph" w:customStyle="1" w:styleId="AllowPageBreak">
    <w:name w:val="AllowPageBreak"/>
    <w:rsid w:val="00CF21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2138"/>
    <w:pPr>
      <w:numPr>
        <w:numId w:val="3"/>
      </w:numPr>
      <w:tabs>
        <w:tab w:val="clear" w:pos="1021"/>
      </w:tabs>
      <w:ind w:left="1037" w:hanging="357"/>
    </w:pPr>
  </w:style>
  <w:style w:type="character" w:customStyle="1" w:styleId="Heading2Char">
    <w:name w:val="Heading 2 Char"/>
    <w:basedOn w:val="DefaultParagraphFont"/>
    <w:link w:val="Heading2"/>
    <w:rsid w:val="00CF21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1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21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1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1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1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138"/>
    <w:rPr>
      <w:rFonts w:ascii="Courier New" w:eastAsia="Times New Roman" w:hAnsi="Courier New" w:cs="Times New Roman"/>
      <w:i/>
      <w:szCs w:val="20"/>
      <w:lang w:eastAsia="en-US"/>
    </w:rPr>
  </w:style>
  <w:style w:type="paragraph" w:customStyle="1" w:styleId="HeadingBase">
    <w:name w:val="Heading Base"/>
    <w:rsid w:val="00CF21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138"/>
    <w:pPr>
      <w:tabs>
        <w:tab w:val="right" w:leader="dot" w:pos="9072"/>
      </w:tabs>
      <w:ind w:left="567"/>
    </w:pPr>
    <w:rPr>
      <w:szCs w:val="22"/>
    </w:rPr>
  </w:style>
  <w:style w:type="paragraph" w:customStyle="1" w:styleId="TOCBase">
    <w:name w:val="TOC Base"/>
    <w:rsid w:val="00CF21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138"/>
    <w:pPr>
      <w:tabs>
        <w:tab w:val="right" w:leader="dot" w:pos="9072"/>
      </w:tabs>
      <w:spacing w:before="40" w:after="40"/>
      <w:ind w:left="284"/>
    </w:pPr>
    <w:rPr>
      <w:rFonts w:ascii="Times New Roman" w:hAnsi="Times New Roman"/>
    </w:rPr>
  </w:style>
  <w:style w:type="paragraph" w:styleId="TOC1">
    <w:name w:val="toc 1"/>
    <w:basedOn w:val="TOCBase"/>
    <w:next w:val="Normal"/>
    <w:rsid w:val="00CF21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1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138"/>
    <w:rPr>
      <w:rFonts w:ascii="Times New Roman" w:eastAsia="Times New Roman" w:hAnsi="Times New Roman" w:cs="Times New Roman"/>
      <w:sz w:val="16"/>
      <w:lang w:eastAsia="en-US"/>
    </w:rPr>
  </w:style>
  <w:style w:type="paragraph" w:styleId="Title">
    <w:name w:val="Title"/>
    <w:basedOn w:val="HeadingBase"/>
    <w:link w:val="TitleChar"/>
    <w:qFormat/>
    <w:rsid w:val="00CF2138"/>
    <w:pPr>
      <w:spacing w:before="5040"/>
      <w:jc w:val="center"/>
    </w:pPr>
    <w:rPr>
      <w:sz w:val="48"/>
      <w:szCs w:val="72"/>
      <w:lang w:val="en-US"/>
    </w:rPr>
  </w:style>
  <w:style w:type="character" w:customStyle="1" w:styleId="TitleChar">
    <w:name w:val="Title Char"/>
    <w:basedOn w:val="DefaultParagraphFont"/>
    <w:link w:val="Title"/>
    <w:rsid w:val="00CF21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138"/>
    <w:pPr>
      <w:tabs>
        <w:tab w:val="left" w:pos="3600"/>
        <w:tab w:val="left" w:pos="3958"/>
      </w:tabs>
    </w:pPr>
  </w:style>
  <w:style w:type="paragraph" w:styleId="List">
    <w:name w:val="List"/>
    <w:basedOn w:val="BodyText"/>
    <w:next w:val="BodyText"/>
    <w:rsid w:val="00CF2138"/>
    <w:pPr>
      <w:tabs>
        <w:tab w:val="left" w:pos="340"/>
      </w:tabs>
      <w:spacing w:before="60" w:after="60"/>
      <w:ind w:left="340" w:hanging="340"/>
    </w:pPr>
  </w:style>
  <w:style w:type="paragraph" w:customStyle="1" w:styleId="Note">
    <w:name w:val="Note"/>
    <w:basedOn w:val="BodyText"/>
    <w:rsid w:val="00CF21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2138"/>
    <w:rPr>
      <w:b/>
      <w:spacing w:val="0"/>
    </w:rPr>
  </w:style>
  <w:style w:type="paragraph" w:customStyle="1" w:styleId="SuperTitle">
    <w:name w:val="SuperTitle"/>
    <w:basedOn w:val="Title"/>
    <w:rsid w:val="00CF2138"/>
    <w:pPr>
      <w:framePr w:wrap="auto" w:hAnchor="text" w:y="6049"/>
    </w:pPr>
    <w:rPr>
      <w:color w:val="000000"/>
      <w:sz w:val="40"/>
    </w:rPr>
  </w:style>
  <w:style w:type="paragraph" w:customStyle="1" w:styleId="TOCTitle">
    <w:name w:val="TOCTitle"/>
    <w:basedOn w:val="Heading1"/>
    <w:rsid w:val="00CF2138"/>
    <w:pPr>
      <w:spacing w:after="240"/>
      <w:jc w:val="center"/>
      <w:outlineLvl w:val="9"/>
    </w:pPr>
    <w:rPr>
      <w:caps/>
    </w:rPr>
  </w:style>
  <w:style w:type="paragraph" w:customStyle="1" w:styleId="Version">
    <w:name w:val="Version"/>
    <w:rsid w:val="00CF21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138"/>
    <w:pPr>
      <w:keepNext w:val="0"/>
      <w:tabs>
        <w:tab w:val="right" w:pos="4176"/>
      </w:tabs>
      <w:ind w:left="198" w:hanging="198"/>
    </w:pPr>
    <w:rPr>
      <w:rFonts w:ascii="Garamond" w:hAnsi="Garamond"/>
    </w:rPr>
  </w:style>
  <w:style w:type="paragraph" w:styleId="IndexHeading">
    <w:name w:val="index heading"/>
    <w:basedOn w:val="Normal"/>
    <w:next w:val="Index1"/>
    <w:semiHidden/>
    <w:rsid w:val="00CF2138"/>
    <w:pPr>
      <w:spacing w:before="120" w:after="120"/>
    </w:pPr>
    <w:rPr>
      <w:rFonts w:ascii="Arial" w:hAnsi="Arial"/>
      <w:b/>
      <w:color w:val="918585"/>
      <w:sz w:val="24"/>
    </w:rPr>
  </w:style>
  <w:style w:type="paragraph" w:styleId="Header">
    <w:name w:val="header"/>
    <w:basedOn w:val="Normal"/>
    <w:link w:val="HeaderChar"/>
    <w:rsid w:val="00CF21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138"/>
    <w:rPr>
      <w:rFonts w:ascii="Times New Roman" w:eastAsia="Times New Roman" w:hAnsi="Times New Roman" w:cs="Times New Roman"/>
      <w:sz w:val="16"/>
      <w:szCs w:val="20"/>
      <w:lang w:val="en-GB" w:eastAsia="en-US"/>
    </w:rPr>
  </w:style>
  <w:style w:type="paragraph" w:customStyle="1" w:styleId="Chapter">
    <w:name w:val="Chapter"/>
    <w:basedOn w:val="Normal"/>
    <w:rsid w:val="00CF2138"/>
    <w:pPr>
      <w:spacing w:before="240"/>
    </w:pPr>
    <w:rPr>
      <w:rFonts w:ascii="Times New Roman" w:hAnsi="Times New Roman"/>
      <w:smallCaps/>
      <w:spacing w:val="80"/>
      <w:sz w:val="28"/>
    </w:rPr>
  </w:style>
  <w:style w:type="paragraph" w:customStyle="1" w:styleId="InChapter">
    <w:name w:val="InChapter"/>
    <w:basedOn w:val="Heading3"/>
    <w:rsid w:val="00CF2138"/>
    <w:pPr>
      <w:spacing w:after="240"/>
      <w:outlineLvl w:val="9"/>
    </w:pPr>
    <w:rPr>
      <w:noProof/>
    </w:rPr>
  </w:style>
  <w:style w:type="paragraph" w:styleId="Index2">
    <w:name w:val="index 2"/>
    <w:basedOn w:val="Normal"/>
    <w:next w:val="Normal"/>
    <w:semiHidden/>
    <w:rsid w:val="00CF2138"/>
    <w:pPr>
      <w:tabs>
        <w:tab w:val="right" w:pos="4176"/>
      </w:tabs>
      <w:ind w:left="568" w:hanging="284"/>
    </w:pPr>
    <w:rPr>
      <w:rFonts w:ascii="Garamond" w:hAnsi="Garamond"/>
    </w:rPr>
  </w:style>
  <w:style w:type="paragraph" w:customStyle="1" w:styleId="Byline">
    <w:name w:val="Byline"/>
    <w:rsid w:val="00CF21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138"/>
    <w:pPr>
      <w:tabs>
        <w:tab w:val="clear" w:pos="3600"/>
        <w:tab w:val="clear" w:pos="3958"/>
      </w:tabs>
      <w:jc w:val="right"/>
    </w:pPr>
  </w:style>
  <w:style w:type="character" w:styleId="Emphasis">
    <w:name w:val="Emphasis"/>
    <w:basedOn w:val="DefaultParagraphFont"/>
    <w:qFormat/>
    <w:rsid w:val="00CF2138"/>
    <w:rPr>
      <w:i/>
    </w:rPr>
  </w:style>
  <w:style w:type="paragraph" w:styleId="Caption">
    <w:name w:val="caption"/>
    <w:basedOn w:val="BodyText"/>
    <w:next w:val="Normal"/>
    <w:qFormat/>
    <w:rsid w:val="00CF2138"/>
    <w:pPr>
      <w:framePr w:w="2268" w:hSpace="181" w:vSpace="181" w:wrap="around" w:vAnchor="text" w:hAnchor="page" w:x="1135" w:y="285" w:anchorLock="1"/>
    </w:pPr>
    <w:rPr>
      <w:i/>
    </w:rPr>
  </w:style>
  <w:style w:type="paragraph" w:customStyle="1" w:styleId="MiniTOCTitle">
    <w:name w:val="MiniTOCTitle"/>
    <w:basedOn w:val="Heading4"/>
    <w:rsid w:val="00CF2138"/>
    <w:pPr>
      <w:spacing w:before="240"/>
      <w:outlineLvl w:val="9"/>
    </w:pPr>
    <w:rPr>
      <w:noProof/>
      <w:sz w:val="24"/>
    </w:rPr>
  </w:style>
  <w:style w:type="paragraph" w:customStyle="1" w:styleId="MiniTOCItem">
    <w:name w:val="MiniTOCItem"/>
    <w:basedOn w:val="ListBullet"/>
    <w:rsid w:val="00CF2138"/>
    <w:pPr>
      <w:numPr>
        <w:numId w:val="0"/>
      </w:numPr>
      <w:tabs>
        <w:tab w:val="right" w:leader="dot" w:pos="6521"/>
      </w:tabs>
      <w:spacing w:before="0" w:after="0"/>
    </w:pPr>
  </w:style>
  <w:style w:type="paragraph" w:customStyle="1" w:styleId="TOFTitle">
    <w:name w:val="TOFTitle"/>
    <w:basedOn w:val="TOCTitle"/>
    <w:rsid w:val="00CF2138"/>
  </w:style>
  <w:style w:type="paragraph" w:styleId="TableofFigures">
    <w:name w:val="table of figures"/>
    <w:basedOn w:val="Normal"/>
    <w:next w:val="Normal"/>
    <w:semiHidden/>
    <w:rsid w:val="00CF2138"/>
    <w:pPr>
      <w:tabs>
        <w:tab w:val="right" w:leader="dot" w:pos="9072"/>
      </w:tabs>
      <w:ind w:left="970" w:hanging="403"/>
    </w:pPr>
    <w:rPr>
      <w:rFonts w:ascii="Times New Roman" w:hAnsi="Times New Roman"/>
      <w:b/>
    </w:rPr>
  </w:style>
  <w:style w:type="paragraph" w:styleId="ListNumber">
    <w:name w:val="List Number"/>
    <w:basedOn w:val="List"/>
    <w:rsid w:val="00CF2138"/>
    <w:pPr>
      <w:numPr>
        <w:numId w:val="16"/>
      </w:numPr>
      <w:tabs>
        <w:tab w:val="clear" w:pos="340"/>
      </w:tabs>
    </w:pPr>
  </w:style>
  <w:style w:type="character" w:customStyle="1" w:styleId="WingdingSymbols">
    <w:name w:val="Wingding Symbols"/>
    <w:rsid w:val="00CF2138"/>
    <w:rPr>
      <w:rFonts w:ascii="Wingdings" w:hAnsi="Wingdings"/>
    </w:rPr>
  </w:style>
  <w:style w:type="paragraph" w:customStyle="1" w:styleId="TableHeading">
    <w:name w:val="Table Heading"/>
    <w:basedOn w:val="HeadingBase"/>
    <w:rsid w:val="00CF2138"/>
    <w:pPr>
      <w:keepLines/>
      <w:pBdr>
        <w:bottom w:val="single" w:sz="6" w:space="1" w:color="918585"/>
      </w:pBdr>
      <w:spacing w:before="240"/>
    </w:pPr>
  </w:style>
  <w:style w:type="character" w:customStyle="1" w:styleId="HotSpot">
    <w:name w:val="HotSpot"/>
    <w:rsid w:val="00CF2138"/>
    <w:rPr>
      <w:color w:val="0033CC"/>
      <w:u w:val="none"/>
    </w:rPr>
  </w:style>
  <w:style w:type="paragraph" w:customStyle="1" w:styleId="BodyTextRight">
    <w:name w:val="Body Text Right"/>
    <w:basedOn w:val="BodyText"/>
    <w:rsid w:val="00CF2138"/>
    <w:pPr>
      <w:spacing w:before="0" w:after="0"/>
      <w:jc w:val="right"/>
    </w:pPr>
  </w:style>
  <w:style w:type="paragraph" w:styleId="Index3">
    <w:name w:val="index 3"/>
    <w:basedOn w:val="ListNumber2"/>
    <w:next w:val="Normal"/>
    <w:semiHidden/>
    <w:rsid w:val="00CF2138"/>
    <w:pPr>
      <w:numPr>
        <w:numId w:val="0"/>
      </w:numPr>
      <w:tabs>
        <w:tab w:val="right" w:leader="dot" w:pos="4176"/>
      </w:tabs>
    </w:pPr>
  </w:style>
  <w:style w:type="paragraph" w:styleId="ListNumber2">
    <w:name w:val="List Number 2"/>
    <w:basedOn w:val="List2"/>
    <w:rsid w:val="00CF2138"/>
    <w:pPr>
      <w:numPr>
        <w:numId w:val="11"/>
      </w:numPr>
      <w:tabs>
        <w:tab w:val="clear" w:pos="1060"/>
      </w:tabs>
    </w:pPr>
  </w:style>
  <w:style w:type="paragraph" w:customStyle="1" w:styleId="MarginNote">
    <w:name w:val="Margin Note"/>
    <w:basedOn w:val="BodyText"/>
    <w:rsid w:val="00CF21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1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1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138"/>
    <w:rPr>
      <w:sz w:val="32"/>
    </w:rPr>
  </w:style>
  <w:style w:type="paragraph" w:customStyle="1" w:styleId="HeadingProcedure">
    <w:name w:val="Heading Procedure"/>
    <w:basedOn w:val="HeadingBase"/>
    <w:next w:val="Normal"/>
    <w:rsid w:val="00CF2138"/>
    <w:pPr>
      <w:tabs>
        <w:tab w:val="left" w:pos="0"/>
      </w:tabs>
      <w:spacing w:before="120" w:after="60"/>
    </w:pPr>
    <w:rPr>
      <w:i/>
      <w:color w:val="918585"/>
      <w:sz w:val="22"/>
    </w:rPr>
  </w:style>
  <w:style w:type="paragraph" w:customStyle="1" w:styleId="TableBodyText">
    <w:name w:val="Table Body Text"/>
    <w:basedOn w:val="BodyText"/>
    <w:rsid w:val="00CF2138"/>
    <w:pPr>
      <w:spacing w:before="60" w:after="60"/>
    </w:pPr>
  </w:style>
  <w:style w:type="paragraph" w:styleId="ListContinue">
    <w:name w:val="List Continue"/>
    <w:basedOn w:val="List"/>
    <w:rsid w:val="00CF2138"/>
    <w:pPr>
      <w:ind w:firstLine="0"/>
    </w:pPr>
  </w:style>
  <w:style w:type="paragraph" w:customStyle="1" w:styleId="ListNote">
    <w:name w:val="List Note"/>
    <w:basedOn w:val="List"/>
    <w:rsid w:val="00CF2138"/>
    <w:pPr>
      <w:pBdr>
        <w:top w:val="single" w:sz="6" w:space="2" w:color="918585"/>
        <w:bottom w:val="single" w:sz="6" w:space="2" w:color="918585"/>
      </w:pBdr>
      <w:tabs>
        <w:tab w:val="left" w:pos="1021"/>
      </w:tabs>
      <w:ind w:firstLine="0"/>
    </w:pPr>
  </w:style>
  <w:style w:type="paragraph" w:customStyle="1" w:styleId="Warning">
    <w:name w:val="Warning"/>
    <w:basedOn w:val="BodyText"/>
    <w:rsid w:val="00CF2138"/>
    <w:pPr>
      <w:shd w:val="clear" w:color="auto" w:fill="D9D9D9"/>
      <w:tabs>
        <w:tab w:val="left" w:pos="992"/>
      </w:tabs>
      <w:ind w:left="119" w:right="119"/>
    </w:pPr>
    <w:rPr>
      <w:sz w:val="20"/>
    </w:rPr>
  </w:style>
  <w:style w:type="paragraph" w:customStyle="1" w:styleId="MarginIcons">
    <w:name w:val="Margin Icons"/>
    <w:basedOn w:val="BodyText"/>
    <w:rsid w:val="00CF21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138"/>
    <w:rPr>
      <w:rFonts w:ascii="Courier New" w:hAnsi="Courier New"/>
    </w:rPr>
  </w:style>
  <w:style w:type="paragraph" w:customStyle="1" w:styleId="NoteBullet">
    <w:name w:val="Note Bullet"/>
    <w:basedOn w:val="Note"/>
    <w:rsid w:val="00CF2138"/>
    <w:pPr>
      <w:tabs>
        <w:tab w:val="clear" w:pos="680"/>
      </w:tabs>
      <w:spacing w:before="60" w:after="60"/>
    </w:pPr>
  </w:style>
  <w:style w:type="paragraph" w:customStyle="1" w:styleId="SubHeading2">
    <w:name w:val="SubHeading2"/>
    <w:basedOn w:val="HeadingBase"/>
    <w:rsid w:val="00CF2138"/>
    <w:pPr>
      <w:spacing w:before="240" w:after="60"/>
    </w:pPr>
    <w:rPr>
      <w:sz w:val="20"/>
    </w:rPr>
  </w:style>
  <w:style w:type="paragraph" w:customStyle="1" w:styleId="SubHeading1">
    <w:name w:val="SubHeading1"/>
    <w:basedOn w:val="HeadingBase"/>
    <w:rsid w:val="00CF2138"/>
    <w:pPr>
      <w:spacing w:before="240" w:after="60"/>
    </w:pPr>
    <w:rPr>
      <w:color w:val="918585"/>
      <w:sz w:val="22"/>
    </w:rPr>
  </w:style>
  <w:style w:type="paragraph" w:customStyle="1" w:styleId="SideHeading">
    <w:name w:val="Side Heading"/>
    <w:basedOn w:val="HeadingBase"/>
    <w:rsid w:val="00CF21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138"/>
    <w:pPr>
      <w:numPr>
        <w:numId w:val="12"/>
      </w:numPr>
    </w:pPr>
  </w:style>
  <w:style w:type="paragraph" w:styleId="PlainText">
    <w:name w:val="Plain Text"/>
    <w:basedOn w:val="Normal"/>
    <w:link w:val="PlainTextChar"/>
    <w:rsid w:val="00CF2138"/>
    <w:rPr>
      <w:sz w:val="20"/>
    </w:rPr>
  </w:style>
  <w:style w:type="character" w:customStyle="1" w:styleId="PlainTextChar">
    <w:name w:val="Plain Text Char"/>
    <w:basedOn w:val="DefaultParagraphFont"/>
    <w:link w:val="PlainText"/>
    <w:rsid w:val="00CF2138"/>
    <w:rPr>
      <w:rFonts w:ascii="Courier New" w:eastAsia="Times New Roman" w:hAnsi="Courier New" w:cs="Times New Roman"/>
      <w:sz w:val="20"/>
      <w:szCs w:val="20"/>
      <w:lang w:eastAsia="en-US"/>
    </w:rPr>
  </w:style>
  <w:style w:type="character" w:customStyle="1" w:styleId="MenuOption">
    <w:name w:val="Menu Option"/>
    <w:basedOn w:val="DefaultParagraphFont"/>
    <w:rsid w:val="00CF2138"/>
    <w:rPr>
      <w:b/>
      <w:smallCaps/>
    </w:rPr>
  </w:style>
  <w:style w:type="paragraph" w:customStyle="1" w:styleId="TableListNumber">
    <w:name w:val="Table List Number"/>
    <w:basedOn w:val="ListNumber"/>
    <w:rsid w:val="00CF2138"/>
    <w:pPr>
      <w:numPr>
        <w:numId w:val="0"/>
      </w:numPr>
    </w:pPr>
  </w:style>
  <w:style w:type="paragraph" w:styleId="TOC4">
    <w:name w:val="toc 4"/>
    <w:basedOn w:val="TOCBase"/>
    <w:next w:val="Normal"/>
    <w:semiHidden/>
    <w:rsid w:val="00CF2138"/>
    <w:pPr>
      <w:tabs>
        <w:tab w:val="right" w:leader="dot" w:pos="9071"/>
      </w:tabs>
      <w:ind w:left="1701"/>
    </w:pPr>
  </w:style>
  <w:style w:type="paragraph" w:customStyle="1" w:styleId="ListAlpha">
    <w:name w:val="List Alpha"/>
    <w:basedOn w:val="List"/>
    <w:rsid w:val="00CF2138"/>
    <w:pPr>
      <w:numPr>
        <w:numId w:val="10"/>
      </w:numPr>
    </w:pPr>
  </w:style>
  <w:style w:type="paragraph" w:customStyle="1" w:styleId="ListAlpha2">
    <w:name w:val="List Alpha 2"/>
    <w:basedOn w:val="List2"/>
    <w:rsid w:val="00CF2138"/>
    <w:pPr>
      <w:numPr>
        <w:numId w:val="9"/>
      </w:numPr>
    </w:pPr>
  </w:style>
  <w:style w:type="paragraph" w:styleId="List2">
    <w:name w:val="List 2"/>
    <w:basedOn w:val="BodyText"/>
    <w:rsid w:val="00CF2138"/>
    <w:pPr>
      <w:tabs>
        <w:tab w:val="left" w:pos="680"/>
      </w:tabs>
      <w:spacing w:before="60" w:after="60"/>
      <w:ind w:left="680" w:hanging="340"/>
    </w:pPr>
  </w:style>
  <w:style w:type="paragraph" w:styleId="List3">
    <w:name w:val="List 3"/>
    <w:basedOn w:val="BodyText"/>
    <w:rsid w:val="00CF2138"/>
    <w:pPr>
      <w:tabs>
        <w:tab w:val="left" w:pos="1021"/>
      </w:tabs>
      <w:spacing w:before="60" w:after="60"/>
      <w:ind w:left="1020" w:hanging="340"/>
    </w:pPr>
  </w:style>
  <w:style w:type="paragraph" w:styleId="List4">
    <w:name w:val="List 4"/>
    <w:basedOn w:val="BodyText"/>
    <w:rsid w:val="00CF2138"/>
    <w:pPr>
      <w:tabs>
        <w:tab w:val="left" w:pos="1361"/>
      </w:tabs>
      <w:spacing w:before="60" w:after="60"/>
      <w:ind w:left="1361" w:hanging="340"/>
    </w:pPr>
  </w:style>
  <w:style w:type="paragraph" w:styleId="List5">
    <w:name w:val="List 5"/>
    <w:basedOn w:val="BodyText"/>
    <w:rsid w:val="00CF2138"/>
    <w:pPr>
      <w:tabs>
        <w:tab w:val="left" w:pos="1701"/>
      </w:tabs>
      <w:spacing w:before="60" w:after="60"/>
      <w:ind w:left="1701" w:hanging="340"/>
    </w:pPr>
  </w:style>
  <w:style w:type="paragraph" w:styleId="ListBullet4">
    <w:name w:val="List Bullet 4"/>
    <w:basedOn w:val="List4"/>
    <w:rsid w:val="00CF2138"/>
    <w:pPr>
      <w:numPr>
        <w:numId w:val="4"/>
      </w:numPr>
      <w:tabs>
        <w:tab w:val="clear" w:pos="1361"/>
      </w:tabs>
    </w:pPr>
  </w:style>
  <w:style w:type="paragraph" w:styleId="ListBullet5">
    <w:name w:val="List Bullet 5"/>
    <w:basedOn w:val="List5"/>
    <w:rsid w:val="00CF2138"/>
    <w:pPr>
      <w:numPr>
        <w:numId w:val="5"/>
      </w:numPr>
    </w:pPr>
  </w:style>
  <w:style w:type="paragraph" w:styleId="ListContinue2">
    <w:name w:val="List Continue 2"/>
    <w:basedOn w:val="List2"/>
    <w:rsid w:val="00CF2138"/>
    <w:pPr>
      <w:ind w:firstLine="0"/>
    </w:pPr>
  </w:style>
  <w:style w:type="paragraph" w:styleId="ListContinue3">
    <w:name w:val="List Continue 3"/>
    <w:basedOn w:val="List3"/>
    <w:rsid w:val="00CF2138"/>
    <w:pPr>
      <w:ind w:left="1021" w:firstLine="0"/>
    </w:pPr>
  </w:style>
  <w:style w:type="paragraph" w:styleId="ListContinue4">
    <w:name w:val="List Continue 4"/>
    <w:basedOn w:val="List4"/>
    <w:rsid w:val="00CF2138"/>
    <w:pPr>
      <w:ind w:firstLine="0"/>
    </w:pPr>
  </w:style>
  <w:style w:type="paragraph" w:styleId="ListContinue5">
    <w:name w:val="List Continue 5"/>
    <w:basedOn w:val="List5"/>
    <w:rsid w:val="00CF2138"/>
    <w:pPr>
      <w:ind w:firstLine="0"/>
    </w:pPr>
  </w:style>
  <w:style w:type="paragraph" w:styleId="ListNumber3">
    <w:name w:val="List Number 3"/>
    <w:basedOn w:val="List3"/>
    <w:rsid w:val="00CF2138"/>
    <w:pPr>
      <w:numPr>
        <w:numId w:val="6"/>
      </w:numPr>
    </w:pPr>
  </w:style>
  <w:style w:type="paragraph" w:styleId="ListNumber4">
    <w:name w:val="List Number 4"/>
    <w:basedOn w:val="List4"/>
    <w:rsid w:val="00CF2138"/>
    <w:pPr>
      <w:numPr>
        <w:numId w:val="7"/>
      </w:numPr>
    </w:pPr>
  </w:style>
  <w:style w:type="paragraph" w:styleId="ListNumber5">
    <w:name w:val="List Number 5"/>
    <w:basedOn w:val="List5"/>
    <w:rsid w:val="00CF2138"/>
    <w:pPr>
      <w:numPr>
        <w:numId w:val="8"/>
      </w:numPr>
    </w:pPr>
  </w:style>
  <w:style w:type="paragraph" w:styleId="BlockText">
    <w:name w:val="Block Text"/>
    <w:basedOn w:val="Normal"/>
    <w:rsid w:val="00CF2138"/>
    <w:pPr>
      <w:spacing w:after="120"/>
      <w:ind w:left="1440" w:right="1440"/>
    </w:pPr>
  </w:style>
  <w:style w:type="character" w:customStyle="1" w:styleId="Subscript">
    <w:name w:val="Subscript"/>
    <w:basedOn w:val="DefaultParagraphFont"/>
    <w:rsid w:val="00CF2138"/>
    <w:rPr>
      <w:sz w:val="16"/>
      <w:vertAlign w:val="subscript"/>
    </w:rPr>
  </w:style>
  <w:style w:type="character" w:customStyle="1" w:styleId="Superscript">
    <w:name w:val="Superscript"/>
    <w:basedOn w:val="DefaultParagraphFont"/>
    <w:rsid w:val="00CF2138"/>
    <w:rPr>
      <w:sz w:val="16"/>
      <w:vertAlign w:val="superscript"/>
    </w:rPr>
  </w:style>
  <w:style w:type="character" w:customStyle="1" w:styleId="Symbols">
    <w:name w:val="Symbols"/>
    <w:basedOn w:val="DefaultParagraphFont"/>
    <w:rsid w:val="00CF2138"/>
    <w:rPr>
      <w:rFonts w:ascii="Symbol" w:hAnsi="Symbol"/>
    </w:rPr>
  </w:style>
  <w:style w:type="character" w:customStyle="1" w:styleId="MenuOptions">
    <w:name w:val="Menu Options"/>
    <w:basedOn w:val="DefaultParagraphFont"/>
    <w:rsid w:val="00CF2138"/>
    <w:rPr>
      <w:rFonts w:ascii="Arial Narrow" w:hAnsi="Arial Narrow"/>
      <w:smallCaps/>
    </w:rPr>
  </w:style>
  <w:style w:type="character" w:customStyle="1" w:styleId="Buttons">
    <w:name w:val="Buttons"/>
    <w:basedOn w:val="DefaultParagraphFont"/>
    <w:rsid w:val="00CF2138"/>
    <w:rPr>
      <w:b/>
    </w:rPr>
  </w:style>
  <w:style w:type="character" w:customStyle="1" w:styleId="Underlined">
    <w:name w:val="Underlined"/>
    <w:basedOn w:val="DefaultParagraphFont"/>
    <w:rsid w:val="00CF2138"/>
    <w:rPr>
      <w:u w:val="single"/>
    </w:rPr>
  </w:style>
  <w:style w:type="paragraph" w:customStyle="1" w:styleId="TableBodyTextRight">
    <w:name w:val="Table Body Text Right"/>
    <w:basedOn w:val="TableBodyText"/>
    <w:rsid w:val="00CF2138"/>
    <w:pPr>
      <w:widowControl w:val="0"/>
      <w:autoSpaceDE w:val="0"/>
      <w:autoSpaceDN w:val="0"/>
      <w:adjustRightInd w:val="0"/>
      <w:jc w:val="right"/>
    </w:pPr>
    <w:rPr>
      <w:rFonts w:cs="Arial"/>
      <w:szCs w:val="18"/>
    </w:rPr>
  </w:style>
  <w:style w:type="paragraph" w:customStyle="1" w:styleId="CopyrightText">
    <w:name w:val="Copyright Text"/>
    <w:basedOn w:val="BodyText"/>
    <w:rsid w:val="00CF2138"/>
    <w:rPr>
      <w:sz w:val="18"/>
    </w:rPr>
  </w:style>
  <w:style w:type="paragraph" w:customStyle="1" w:styleId="BodySmallRight">
    <w:name w:val="Body Small Right"/>
    <w:basedOn w:val="BodyTextRight"/>
    <w:rsid w:val="00CF2138"/>
    <w:rPr>
      <w:sz w:val="18"/>
      <w:szCs w:val="18"/>
    </w:rPr>
  </w:style>
  <w:style w:type="paragraph" w:customStyle="1" w:styleId="MarginEdition">
    <w:name w:val="Margin Edition"/>
    <w:basedOn w:val="MarginNote"/>
    <w:rsid w:val="00CF2138"/>
    <w:pPr>
      <w:spacing w:before="0" w:after="0"/>
    </w:pPr>
    <w:rPr>
      <w:rFonts w:ascii="Times New Roman" w:hAnsi="Times New Roman"/>
      <w:color w:val="999999"/>
    </w:rPr>
  </w:style>
  <w:style w:type="paragraph" w:customStyle="1" w:styleId="Spacer">
    <w:name w:val="Spacer"/>
    <w:basedOn w:val="Normal"/>
    <w:rsid w:val="00CF2138"/>
    <w:rPr>
      <w:sz w:val="2"/>
      <w:szCs w:val="2"/>
    </w:rPr>
  </w:style>
  <w:style w:type="character" w:customStyle="1" w:styleId="Small">
    <w:name w:val="Small"/>
    <w:basedOn w:val="DefaultParagraphFont"/>
    <w:rsid w:val="00CF2138"/>
    <w:rPr>
      <w:sz w:val="16"/>
    </w:rPr>
  </w:style>
  <w:style w:type="paragraph" w:customStyle="1" w:styleId="WideTable">
    <w:name w:val="Wide Table"/>
    <w:basedOn w:val="Normal"/>
    <w:rsid w:val="00CF2138"/>
    <w:pPr>
      <w:ind w:left="-1418"/>
    </w:pPr>
    <w:rPr>
      <w:sz w:val="2"/>
      <w:szCs w:val="2"/>
    </w:rPr>
  </w:style>
  <w:style w:type="character" w:styleId="PageNumber">
    <w:name w:val="page number"/>
    <w:basedOn w:val="DefaultParagraphFont"/>
    <w:rsid w:val="00CF2138"/>
  </w:style>
  <w:style w:type="paragraph" w:styleId="Quote">
    <w:name w:val="Quote"/>
    <w:basedOn w:val="Heading1"/>
    <w:link w:val="QuoteChar"/>
    <w:qFormat/>
    <w:rsid w:val="00CF2138"/>
    <w:rPr>
      <w:b w:val="0"/>
      <w:sz w:val="72"/>
      <w:szCs w:val="72"/>
      <w:lang w:val="en-NZ"/>
    </w:rPr>
  </w:style>
  <w:style w:type="character" w:customStyle="1" w:styleId="QuoteChar">
    <w:name w:val="Quote Char"/>
    <w:basedOn w:val="DefaultParagraphFont"/>
    <w:link w:val="Quote"/>
    <w:rsid w:val="00CF21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138"/>
    <w:pPr>
      <w:pageBreakBefore/>
    </w:pPr>
  </w:style>
  <w:style w:type="paragraph" w:customStyle="1" w:styleId="Border">
    <w:name w:val="Border"/>
    <w:basedOn w:val="Normal"/>
    <w:qFormat/>
    <w:rsid w:val="00CF21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138"/>
    <w:rPr>
      <w:b/>
      <w:bCs/>
      <w:i/>
      <w:iCs/>
      <w:color w:val="auto"/>
    </w:rPr>
  </w:style>
  <w:style w:type="paragraph" w:styleId="IntenseQuote">
    <w:name w:val="Intense Quote"/>
    <w:basedOn w:val="Normal"/>
    <w:next w:val="Normal"/>
    <w:link w:val="IntenseQuoteChar"/>
    <w:uiPriority w:val="30"/>
    <w:qFormat/>
    <w:rsid w:val="00CF21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1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138"/>
    <w:rPr>
      <w:smallCaps/>
      <w:color w:val="auto"/>
      <w:u w:val="single"/>
    </w:rPr>
  </w:style>
  <w:style w:type="character" w:styleId="IntenseReference">
    <w:name w:val="Intense Reference"/>
    <w:basedOn w:val="DefaultParagraphFont"/>
    <w:uiPriority w:val="32"/>
    <w:qFormat/>
    <w:rsid w:val="00CF2138"/>
    <w:rPr>
      <w:b/>
      <w:bCs/>
      <w:smallCaps/>
      <w:color w:val="auto"/>
      <w:spacing w:val="5"/>
      <w:u w:val="single"/>
    </w:rPr>
  </w:style>
  <w:style w:type="paragraph" w:customStyle="1" w:styleId="2ColumnHeading">
    <w:name w:val="2Column Heading"/>
    <w:basedOn w:val="BodyText"/>
    <w:qFormat/>
    <w:rsid w:val="00CF2138"/>
    <w:pPr>
      <w:spacing w:after="60"/>
      <w:ind w:left="-2268"/>
    </w:pPr>
    <w:rPr>
      <w:b/>
    </w:rPr>
  </w:style>
  <w:style w:type="paragraph" w:customStyle="1" w:styleId="Heading1TOC">
    <w:name w:val="Heading1 TOC"/>
    <w:basedOn w:val="Normal"/>
    <w:qFormat/>
    <w:rsid w:val="00CF2138"/>
    <w:pPr>
      <w:spacing w:before="240" w:after="120"/>
    </w:pPr>
    <w:rPr>
      <w:rFonts w:ascii="Times New Roman" w:hAnsi="Times New Roman"/>
      <w:b/>
      <w:sz w:val="32"/>
    </w:rPr>
  </w:style>
  <w:style w:type="paragraph" w:customStyle="1" w:styleId="Heading2TOC">
    <w:name w:val="Heading2 TOC"/>
    <w:basedOn w:val="Normal"/>
    <w:qFormat/>
    <w:rsid w:val="00CF2138"/>
    <w:pPr>
      <w:spacing w:before="240" w:after="60"/>
    </w:pPr>
    <w:rPr>
      <w:rFonts w:ascii="Times New Roman" w:hAnsi="Times New Roman"/>
      <w:b/>
      <w:sz w:val="28"/>
    </w:rPr>
  </w:style>
  <w:style w:type="character" w:customStyle="1" w:styleId="Underline">
    <w:name w:val="Underline"/>
    <w:basedOn w:val="DefaultParagraphFont"/>
    <w:qFormat/>
    <w:rsid w:val="00CF2138"/>
    <w:rPr>
      <w:u w:val="single"/>
    </w:rPr>
  </w:style>
  <w:style w:type="character" w:customStyle="1" w:styleId="BoldandItalics">
    <w:name w:val="Bold and Italics"/>
    <w:qFormat/>
    <w:rsid w:val="00CF2138"/>
    <w:rPr>
      <w:b/>
      <w:i/>
      <w:u w:val="none"/>
    </w:rPr>
  </w:style>
  <w:style w:type="paragraph" w:styleId="BalloonText">
    <w:name w:val="Balloon Text"/>
    <w:basedOn w:val="Normal"/>
    <w:link w:val="BalloonTextChar"/>
    <w:rsid w:val="00CF2138"/>
    <w:rPr>
      <w:rFonts w:ascii="Tahoma" w:hAnsi="Tahoma" w:cs="Tahoma"/>
      <w:sz w:val="16"/>
      <w:szCs w:val="16"/>
    </w:rPr>
  </w:style>
  <w:style w:type="character" w:customStyle="1" w:styleId="BalloonTextChar">
    <w:name w:val="Balloon Text Char"/>
    <w:basedOn w:val="DefaultParagraphFont"/>
    <w:link w:val="BalloonText"/>
    <w:rsid w:val="00CF21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1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1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138"/>
    <w:rPr>
      <w:b/>
      <w:color w:val="660033"/>
      <w:spacing w:val="0"/>
    </w:rPr>
  </w:style>
  <w:style w:type="paragraph" w:customStyle="1" w:styleId="Nameditemlist">
    <w:name w:val="Named item list"/>
    <w:basedOn w:val="BodyText"/>
    <w:qFormat/>
    <w:rsid w:val="00CF2138"/>
    <w:pPr>
      <w:tabs>
        <w:tab w:val="left" w:pos="2835"/>
      </w:tabs>
      <w:ind w:left="2835" w:hanging="2835"/>
    </w:pPr>
  </w:style>
  <w:style w:type="paragraph" w:customStyle="1" w:styleId="BodyTextnopadding">
    <w:name w:val="Body Text no padding"/>
    <w:basedOn w:val="BodyText"/>
    <w:qFormat/>
    <w:rsid w:val="00CF2138"/>
    <w:pPr>
      <w:spacing w:before="0" w:after="0"/>
    </w:pPr>
  </w:style>
  <w:style w:type="paragraph" w:customStyle="1" w:styleId="BodyTextBold">
    <w:name w:val="Body Text Bold"/>
    <w:basedOn w:val="BodyText"/>
    <w:qFormat/>
    <w:rsid w:val="00CF2138"/>
    <w:rPr>
      <w:b/>
    </w:rPr>
  </w:style>
  <w:style w:type="character" w:styleId="Hyperlink">
    <w:name w:val="Hyperlink"/>
    <w:basedOn w:val="DefaultParagraphFont"/>
    <w:uiPriority w:val="99"/>
    <w:unhideWhenUsed/>
    <w:rsid w:val="00325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5425</Characters>
  <Application>Microsoft Office Word</Application>
  <DocSecurity>0</DocSecurity>
  <Lines>142</Lines>
  <Paragraphs>98</Paragraphs>
  <ScaleCrop>false</ScaleCrop>
  <Company>Author-it Software Corporation Ltd.</Company>
  <LinksUpToDate>false</LinksUpToDate>
  <CharactersWithSpaces>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RIINHB312D Conduct raise boring</dc:title>
  <dc:subject>Approved</dc:subject>
  <dc:creator>PwC’s Skills for Australia</dc:creator>
  <cp:keywords>Release: 2</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