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6B1" w:rsidP="003606B1">
      <w:pPr>
        <w:pStyle w:val="Title"/>
      </w:pPr>
      <w:r>
        <w:fldChar w:fldCharType="begin"/>
      </w:r>
      <w:r>
        <w:instrText xml:space="preserve"> TITLE   \* MERGEFORMAT </w:instrText>
      </w:r>
      <w:r>
        <w:fldChar w:fldCharType="separate"/>
      </w:r>
      <w:r>
        <w:t>Assessment Requirements for RIINHB309D Conduct guided boring</w:t>
      </w:r>
      <w:r>
        <w:fldChar w:fldCharType="end"/>
      </w:r>
    </w:p>
    <w:p w:rsidR="003606B1" w:rsidP="003606B1">
      <w:pPr>
        <w:pStyle w:val="Version"/>
        <w:sectPr w:rsidSect="00DD3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301B" w:rsidP="00DD301B">
      <w:pPr>
        <w:pStyle w:val="SuperHeading"/>
      </w:pPr>
      <w:r w:rsidRPr="00DD301B">
        <w:t>Assessment Requirements for RIINHB309D Conduct guided boring</w:t>
      </w:r>
    </w:p>
    <w:p w:rsidR="00000000" w:rsidRPr="00DD301B" w:rsidP="00DD301B">
      <w:pPr>
        <w:pStyle w:val="Heading1"/>
      </w:pPr>
      <w:bookmarkStart w:id="1" w:name="O_689535"/>
      <w:bookmarkEnd w:id="1"/>
      <w:r w:rsidRPr="00DD301B">
        <w:t>Modification History</w:t>
      </w:r>
    </w:p>
    <w:tbl>
      <w:tblPr>
        <w:tblW w:w="0" w:type="auto"/>
        <w:tblCellMar>
          <w:left w:w="62" w:type="dxa"/>
          <w:right w:w="62" w:type="dxa"/>
        </w:tblCellMar>
        <w:tblLook w:val="0000"/>
      </w:tblPr>
      <w:tblGrid>
        <w:gridCol w:w="1107"/>
        <w:gridCol w:w="8089"/>
      </w:tblGrid>
      <w:tr w:rsidTr="003606B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01B">
            <w:pPr>
              <w:pStyle w:val="Heading4"/>
              <w:rPr>
                <w:lang w:val="en-NZ"/>
              </w:rPr>
            </w:pPr>
            <w:r w:rsidRPr="00DD301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01B">
            <w:pPr>
              <w:pStyle w:val="Heading4"/>
              <w:rPr>
                <w:lang w:val="en-NZ"/>
              </w:rPr>
            </w:pPr>
            <w:r w:rsidRPr="00DD301B">
              <w:t>Comment</w:t>
            </w:r>
          </w:p>
        </w:tc>
      </w:tr>
      <w:tr w:rsidTr="003606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01B">
            <w:pPr>
              <w:pStyle w:val="BodyText"/>
              <w:rPr>
                <w:lang w:val="en-NZ"/>
              </w:rPr>
            </w:pPr>
            <w:r w:rsidRPr="00DD301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01B">
            <w:pPr>
              <w:pStyle w:val="BodyText"/>
              <w:rPr>
                <w:lang w:val="en-NZ"/>
              </w:rPr>
            </w:pPr>
            <w:r w:rsidRPr="00DD301B">
              <w:t>This unit replaces RIINHB309A Conduct guided boring</w:t>
            </w:r>
          </w:p>
        </w:tc>
      </w:tr>
      <w:tr w:rsidTr="003606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01B">
            <w:pPr>
              <w:pStyle w:val="BodyText"/>
              <w:rPr>
                <w:lang w:val="en-NZ"/>
              </w:rPr>
            </w:pPr>
            <w:r w:rsidRPr="00DD301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01B" w:rsidP="00DD301B">
            <w:pPr>
              <w:pStyle w:val="BodyText"/>
            </w:pPr>
            <w:r w:rsidRPr="00DD301B">
              <w:t>Required frequency and volume of evidence amended in Performance evidence.</w:t>
            </w:r>
          </w:p>
          <w:p w:rsidR="00000000" w:rsidRPr="00DD301B" w:rsidP="00DD301B">
            <w:pPr>
              <w:pStyle w:val="BodyText"/>
            </w:pPr>
            <w:r w:rsidRPr="00DD301B">
              <w:t>Substantial amendments made in Assessment Conditions field, including:</w:t>
            </w:r>
            <w:r w:rsidRPr="00DD301B">
              <w:t xml:space="preserve"> references to Industry Sectors, assessor and subject matter expert experience requirements, how assessment should be conducted and what it should confirm.</w:t>
            </w:r>
          </w:p>
        </w:tc>
      </w:tr>
    </w:tbl>
    <w:p w:rsidR="00000000" w:rsidRPr="00DD301B" w:rsidP="00DD301B">
      <w:pPr>
        <w:pStyle w:val="BodyText"/>
      </w:pPr>
    </w:p>
    <w:p w:rsidR="00000000" w:rsidRPr="00DD301B" w:rsidP="00DD301B">
      <w:pPr>
        <w:pStyle w:val="AllowPageBreak"/>
      </w:pPr>
    </w:p>
    <w:p w:rsidR="00000000" w:rsidRPr="00DD301B" w:rsidP="00DD301B">
      <w:pPr>
        <w:pStyle w:val="Heading1"/>
      </w:pPr>
      <w:bookmarkStart w:id="2" w:name="O_689534"/>
      <w:bookmarkEnd w:id="2"/>
      <w:r w:rsidRPr="00DD301B">
        <w:t>Performance Evidence</w:t>
      </w:r>
    </w:p>
    <w:p w:rsidR="00000000" w:rsidRPr="00DD301B" w:rsidP="00DD301B">
      <w:pPr>
        <w:pStyle w:val="BodyText"/>
      </w:pPr>
      <w:r w:rsidRPr="00DD301B">
        <w:t>Evidence is required to be collected that demonstrates a candidate’s competency in this unit. Evidence must be relevant to the roles within this sector’s work operations and satisfy all of the requirements of the performance criteria of this unit and inclu</w:t>
      </w:r>
      <w:r w:rsidRPr="00DD301B">
        <w:t>de evidence that the candidate:</w:t>
      </w:r>
    </w:p>
    <w:p w:rsidR="00000000" w:rsidRPr="00DD301B" w:rsidP="00DD301B">
      <w:pPr>
        <w:pStyle w:val="ListBullet2"/>
      </w:pPr>
      <w:r w:rsidRPr="00DD301B">
        <w:t>locates and applies relevant documentation, policies and procedures</w:t>
      </w:r>
    </w:p>
    <w:p w:rsidR="00000000" w:rsidRPr="00DD301B" w:rsidP="00DD301B">
      <w:pPr>
        <w:pStyle w:val="ListBullet2"/>
      </w:pPr>
      <w:r w:rsidRPr="00DD301B">
        <w:t>implements the requirements, procedures and techniques for the safe, effective and efficient completion of guided boring including:</w:t>
      </w:r>
    </w:p>
    <w:p w:rsidR="00000000" w:rsidRPr="00DD301B" w:rsidP="00DD301B">
      <w:pPr>
        <w:pStyle w:val="ListBullet3"/>
      </w:pPr>
      <w:r w:rsidRPr="00DD301B">
        <w:t>interpreting geologica</w:t>
      </w:r>
      <w:r w:rsidRPr="00DD301B">
        <w:t>l and survey data</w:t>
      </w:r>
    </w:p>
    <w:p w:rsidR="00000000" w:rsidRPr="00DD301B" w:rsidP="00DD301B">
      <w:pPr>
        <w:pStyle w:val="ListBullet3"/>
      </w:pPr>
      <w:r w:rsidRPr="00DD301B">
        <w:t>conducting mechanical and manual handling</w:t>
      </w:r>
    </w:p>
    <w:p w:rsidR="00000000" w:rsidRPr="00DD301B" w:rsidP="00DD301B">
      <w:pPr>
        <w:pStyle w:val="ListBullet3"/>
      </w:pPr>
      <w:r w:rsidRPr="00DD301B">
        <w:t xml:space="preserve">understanding the metric and imperial units conversion </w:t>
      </w:r>
    </w:p>
    <w:p w:rsidR="00000000" w:rsidRPr="00DD301B" w:rsidP="00DD301B">
      <w:pPr>
        <w:pStyle w:val="ListBullet3"/>
      </w:pPr>
      <w:r w:rsidRPr="00DD301B">
        <w:t xml:space="preserve">using mathematical calculations, addition, subtraction, multiplication and division </w:t>
      </w:r>
    </w:p>
    <w:p w:rsidR="00000000" w:rsidRPr="00DD301B" w:rsidP="00DD301B">
      <w:pPr>
        <w:pStyle w:val="ListBullet3"/>
      </w:pPr>
      <w:r w:rsidRPr="00DD301B">
        <w:t>using a calculator to calculate hole volume</w:t>
      </w:r>
    </w:p>
    <w:p w:rsidR="00000000" w:rsidRPr="00DD301B" w:rsidP="00DD301B">
      <w:pPr>
        <w:pStyle w:val="ListBullet2"/>
      </w:pPr>
      <w:r w:rsidRPr="00DD301B">
        <w:t>works effe</w:t>
      </w:r>
      <w:r w:rsidRPr="00DD301B">
        <w:t>ctively with others to undertake and complete the conduct of guided bores that meets all of the required outcomes including:</w:t>
      </w:r>
    </w:p>
    <w:p w:rsidR="00000000" w:rsidRPr="00DD301B" w:rsidP="00DD301B">
      <w:pPr>
        <w:pStyle w:val="ListBullet3"/>
      </w:pPr>
      <w:r w:rsidRPr="00DD301B">
        <w:t>complying with written and verbal reporting requirements and procedures</w:t>
      </w:r>
    </w:p>
    <w:p w:rsidR="00000000" w:rsidRPr="00DD301B" w:rsidP="00DD301B">
      <w:pPr>
        <w:pStyle w:val="ListBullet3"/>
      </w:pPr>
      <w:r w:rsidRPr="00DD301B">
        <w:t>communicating clearly and concisely with others to receive and clarify work instructions</w:t>
      </w:r>
    </w:p>
    <w:p w:rsidR="00000000" w:rsidRPr="00DD301B" w:rsidP="00DD301B">
      <w:pPr>
        <w:pStyle w:val="ListBullet3"/>
      </w:pPr>
      <w:r w:rsidRPr="00DD301B">
        <w:t>communicating clearly and concisely with others to resolve coordination requirements prior to commencing and during work activities</w:t>
      </w:r>
    </w:p>
    <w:p w:rsidR="00000000" w:rsidRPr="00DD301B" w:rsidP="00DD301B">
      <w:pPr>
        <w:pStyle w:val="ListBullet"/>
      </w:pPr>
      <w:r w:rsidRPr="00DD301B">
        <w:t>demonstrates completion of the con</w:t>
      </w:r>
      <w:r w:rsidRPr="00DD301B">
        <w:t>duction of guided bores that safely, effectively and efficiently meets all of the required outcomes on more than one (1) occasion including:</w:t>
      </w:r>
    </w:p>
    <w:p w:rsidR="00000000" w:rsidRPr="00DD301B" w:rsidP="00DD301B">
      <w:pPr>
        <w:pStyle w:val="ListBullet3"/>
      </w:pPr>
      <w:r w:rsidRPr="00DD301B">
        <w:t>fitting and locating device to drill head and attaching drill head to drill stem</w:t>
      </w:r>
    </w:p>
    <w:p w:rsidR="00000000" w:rsidRPr="00DD301B" w:rsidP="00DD301B">
      <w:pPr>
        <w:pStyle w:val="ListBullet3"/>
      </w:pPr>
      <w:r w:rsidRPr="00DD301B">
        <w:t>aligning drilling head with surve</w:t>
      </w:r>
      <w:r w:rsidRPr="00DD301B">
        <w:t>y tool and survey control system</w:t>
      </w:r>
    </w:p>
    <w:p w:rsidR="00000000" w:rsidRPr="00DD301B" w:rsidP="00DD301B">
      <w:pPr>
        <w:pStyle w:val="ListBullet3"/>
      </w:pPr>
      <w:r w:rsidRPr="00DD301B">
        <w:t>drilling pilot hole according to design alignment</w:t>
      </w:r>
    </w:p>
    <w:p w:rsidR="00000000" w:rsidRPr="00DD301B" w:rsidP="00DD301B">
      <w:pPr>
        <w:pStyle w:val="ListBullet3"/>
      </w:pPr>
      <w:r w:rsidRPr="00DD301B">
        <w:t>monitoring drill path ensuring pilot hole meets conformance envelope and dogleg severity is within limits</w:t>
      </w:r>
    </w:p>
    <w:p w:rsidR="00000000" w:rsidRPr="00DD301B" w:rsidP="00DD301B">
      <w:pPr>
        <w:pStyle w:val="ListBullet3"/>
      </w:pPr>
      <w:r w:rsidRPr="00DD301B">
        <w:t>steering, and where required, zone steering drill head to achieve r</w:t>
      </w:r>
      <w:r w:rsidRPr="00DD301B">
        <w:t>equired pitch and direction</w:t>
      </w:r>
    </w:p>
    <w:p w:rsidR="00000000" w:rsidRPr="00DD301B" w:rsidP="00DD301B">
      <w:pPr>
        <w:pStyle w:val="ListBullet3"/>
      </w:pPr>
      <w:r w:rsidRPr="00DD301B">
        <w:t>monitoring and interpreting all gauge/dial readings</w:t>
      </w:r>
    </w:p>
    <w:p w:rsidR="00000000" w:rsidRPr="00DD301B" w:rsidP="00DD301B">
      <w:pPr>
        <w:pStyle w:val="ListBullet3"/>
      </w:pPr>
      <w:r w:rsidRPr="00DD301B">
        <w:t>monitoring and interpreting drill head position and pitch</w:t>
      </w:r>
    </w:p>
    <w:p w:rsidR="00000000" w:rsidRPr="00DD301B" w:rsidP="00DD301B">
      <w:pPr>
        <w:pStyle w:val="ListBullet3"/>
      </w:pPr>
      <w:r w:rsidRPr="00DD301B">
        <w:t>completing back reaming, and product pull back</w:t>
      </w:r>
    </w:p>
    <w:p w:rsidR="00000000" w:rsidRPr="00DD301B" w:rsidP="00DD301B">
      <w:pPr>
        <w:pStyle w:val="AllowPageBreak"/>
      </w:pPr>
    </w:p>
    <w:p w:rsidR="00000000" w:rsidRPr="00DD301B" w:rsidP="00DD301B">
      <w:pPr>
        <w:pStyle w:val="Heading1"/>
      </w:pPr>
      <w:bookmarkStart w:id="3" w:name="O_689533"/>
      <w:bookmarkEnd w:id="3"/>
      <w:r w:rsidRPr="00DD301B">
        <w:t>Knowledge Evidence</w:t>
      </w:r>
    </w:p>
    <w:p w:rsidR="00000000" w:rsidRPr="00DD301B" w:rsidP="00DD301B">
      <w:pPr>
        <w:pStyle w:val="BodyText"/>
      </w:pPr>
      <w:r w:rsidRPr="00DD301B">
        <w:t>The candidate must demonstrate knowledge in conducting guided boring through:</w:t>
      </w:r>
    </w:p>
    <w:p w:rsidR="00000000" w:rsidRPr="00DD301B" w:rsidP="00DD301B">
      <w:pPr>
        <w:pStyle w:val="ListBullet2"/>
      </w:pPr>
      <w:r w:rsidRPr="00DD301B">
        <w:t>accessing, interpreting and applying the organization and site requirements and procedures for;</w:t>
      </w:r>
    </w:p>
    <w:p w:rsidR="00000000" w:rsidRPr="00DD301B" w:rsidP="00DD301B">
      <w:pPr>
        <w:pStyle w:val="ListBullet3"/>
      </w:pPr>
      <w:r w:rsidRPr="00DD301B">
        <w:t>work, health and safety</w:t>
      </w:r>
    </w:p>
    <w:p w:rsidR="00000000" w:rsidRPr="00DD301B" w:rsidP="00DD301B">
      <w:pPr>
        <w:pStyle w:val="ListBullet3"/>
      </w:pPr>
      <w:r w:rsidRPr="00DD301B">
        <w:t>environmental issues</w:t>
      </w:r>
    </w:p>
    <w:p w:rsidR="00000000" w:rsidRPr="00DD301B" w:rsidP="00DD301B">
      <w:pPr>
        <w:pStyle w:val="ListBullet3"/>
      </w:pPr>
      <w:r w:rsidRPr="00DD301B">
        <w:t>operating drill rig</w:t>
      </w:r>
    </w:p>
    <w:p w:rsidR="00000000" w:rsidRPr="00DD301B" w:rsidP="00DD301B">
      <w:pPr>
        <w:pStyle w:val="ListBullet3"/>
      </w:pPr>
      <w:r w:rsidRPr="00DD301B">
        <w:t>housekeeping</w:t>
      </w:r>
    </w:p>
    <w:p w:rsidR="00000000" w:rsidRPr="00DD301B" w:rsidP="00DD301B">
      <w:pPr>
        <w:pStyle w:val="ListBullet2"/>
      </w:pPr>
      <w:r w:rsidRPr="00DD301B">
        <w:t>u</w:t>
      </w:r>
      <w:r w:rsidRPr="00DD301B">
        <w:t xml:space="preserve">nderstanding worksite coordination requirements and procedures </w:t>
      </w:r>
    </w:p>
    <w:p w:rsidR="00000000" w:rsidRPr="00DD301B" w:rsidP="00DD301B">
      <w:pPr>
        <w:pStyle w:val="ListBullet2"/>
      </w:pPr>
      <w:r w:rsidRPr="00DD301B">
        <w:t>site operating techniques and systems</w:t>
      </w:r>
    </w:p>
    <w:p w:rsidR="00000000" w:rsidRPr="00DD301B" w:rsidP="00DD301B">
      <w:pPr>
        <w:pStyle w:val="ListBullet2"/>
      </w:pPr>
      <w:r w:rsidRPr="00DD301B">
        <w:t>monitoring systems and alarms requirements and procedures</w:t>
      </w:r>
    </w:p>
    <w:p w:rsidR="00000000" w:rsidRPr="00DD301B" w:rsidP="00DD301B">
      <w:pPr>
        <w:pStyle w:val="ListBullet2"/>
      </w:pPr>
      <w:r w:rsidRPr="00DD301B">
        <w:t>understanding the ground preparation requirements and procedures</w:t>
      </w:r>
    </w:p>
    <w:p w:rsidR="00000000" w:rsidRPr="00DD301B" w:rsidP="00DD301B">
      <w:pPr>
        <w:pStyle w:val="ListBullet2"/>
      </w:pPr>
      <w:r w:rsidRPr="00DD301B">
        <w:t>inspection, fault finding and r</w:t>
      </w:r>
      <w:r w:rsidRPr="00DD301B">
        <w:t>eporting requirements and procedures</w:t>
      </w:r>
    </w:p>
    <w:p w:rsidR="00000000" w:rsidRPr="00DD301B" w:rsidP="00DD301B">
      <w:pPr>
        <w:pStyle w:val="ListBullet2"/>
      </w:pPr>
      <w:r w:rsidRPr="00DD301B">
        <w:t>the routine operator servicing, maintenance and housekeeping requirements and procedures</w:t>
      </w:r>
    </w:p>
    <w:p w:rsidR="00000000" w:rsidRPr="00DD301B" w:rsidP="00DD301B">
      <w:pPr>
        <w:pStyle w:val="ListBullet2"/>
      </w:pPr>
      <w:r w:rsidRPr="00DD301B">
        <w:t>using dust suppression techniques</w:t>
      </w:r>
    </w:p>
    <w:p w:rsidR="00000000" w:rsidRPr="00DD301B" w:rsidP="00DD301B">
      <w:pPr>
        <w:pStyle w:val="ListBullet2"/>
      </w:pPr>
      <w:r w:rsidRPr="00DD301B">
        <w:t xml:space="preserve">understanding the drill system characteristics, technical capability and limitations </w:t>
      </w:r>
    </w:p>
    <w:p w:rsidR="00000000" w:rsidRPr="00DD301B" w:rsidP="00DD301B">
      <w:pPr>
        <w:pStyle w:val="ListBullet2"/>
      </w:pPr>
      <w:r w:rsidRPr="00DD301B">
        <w:t>using diagrams, plans and instructions for positioning, recording work or progress</w:t>
      </w:r>
    </w:p>
    <w:p w:rsidR="00000000" w:rsidRPr="00DD301B" w:rsidP="00DD301B">
      <w:pPr>
        <w:pStyle w:val="ListBullet2"/>
      </w:pPr>
      <w:r w:rsidRPr="00DD301B">
        <w:t>being prepared for fire/accident/emergency</w:t>
      </w:r>
    </w:p>
    <w:p w:rsidR="00000000" w:rsidRPr="00DD301B" w:rsidP="00DD301B">
      <w:pPr>
        <w:pStyle w:val="AllowPageBreak"/>
      </w:pPr>
    </w:p>
    <w:p w:rsidR="00000000" w:rsidRPr="00DD301B" w:rsidP="00DD301B">
      <w:pPr>
        <w:pStyle w:val="Heading1"/>
      </w:pPr>
      <w:bookmarkStart w:id="4" w:name="O_689532"/>
      <w:bookmarkEnd w:id="4"/>
      <w:r w:rsidRPr="00DD301B">
        <w:t>Assessment Conditions</w:t>
      </w:r>
    </w:p>
    <w:p w:rsidR="00000000" w:rsidRPr="00DD301B" w:rsidP="00DD301B">
      <w:pPr>
        <w:pStyle w:val="ListBullet"/>
      </w:pPr>
      <w:r w:rsidRPr="00DD301B">
        <w:t>An assessor of this unit must satisfy the requirements of the NVR/AQTF or their successors</w:t>
      </w:r>
      <w:r w:rsidRPr="00DD301B">
        <w:t xml:space="preserve">; and Industry regulations for certification and licensing; and, </w:t>
      </w:r>
    </w:p>
    <w:p w:rsidR="00000000" w:rsidRPr="00DD301B" w:rsidP="00DD301B">
      <w:pPr>
        <w:pStyle w:val="ListBullet"/>
      </w:pPr>
      <w:r w:rsidRPr="00DD301B">
        <w:t>this unit must be assessed in the context of this sector’s work environment; and,</w:t>
      </w:r>
    </w:p>
    <w:p w:rsidR="00000000" w:rsidRPr="00DD301B" w:rsidP="00DD301B">
      <w:pPr>
        <w:pStyle w:val="ListBullet"/>
      </w:pPr>
      <w:r w:rsidRPr="00DD301B">
        <w:t>this unit must be assessed in compliance with relevant legislation/regulation and using policies, procedures</w:t>
      </w:r>
      <w:r w:rsidRPr="00DD301B">
        <w:t>, processes and operational manuals directly related to the industry sector for which it is being assessed; and,</w:t>
      </w:r>
    </w:p>
    <w:p w:rsidR="00000000" w:rsidRPr="00DD301B" w:rsidP="00DD301B">
      <w:pPr>
        <w:pStyle w:val="ListBullet"/>
      </w:pPr>
      <w:r w:rsidRPr="00DD301B">
        <w:t>assessment may be conducted in conjunction with the assessment of other Units of Competency; and,</w:t>
      </w:r>
    </w:p>
    <w:p w:rsidR="00000000" w:rsidRPr="00DD301B" w:rsidP="00DD301B">
      <w:pPr>
        <w:pStyle w:val="ListBullet"/>
      </w:pPr>
      <w:r w:rsidRPr="00DD301B">
        <w:t>assessment must confirm consistent performanc</w:t>
      </w:r>
      <w:r w:rsidRPr="00DD301B">
        <w:t>e can be applied in a range of relevant workplace circumstances; and,</w:t>
      </w:r>
    </w:p>
    <w:p w:rsidR="00000000" w:rsidRPr="00DD301B" w:rsidP="00DD301B">
      <w:pPr>
        <w:pStyle w:val="ListBullet"/>
      </w:pPr>
      <w:r w:rsidRPr="00DD301B">
        <w:t>assessors must demonstrate the performance evidence, and knowledge evidence as outlined in this Unit of Competency, and through the minimum years of current* work experience specified be</w:t>
      </w:r>
      <w:r w:rsidRPr="00DD301B">
        <w:t>low in an Industry sector relevant to the outcomes of the unit; or,</w:t>
      </w:r>
    </w:p>
    <w:p w:rsidR="00000000" w:rsidRPr="00DD301B" w:rsidP="00DD301B">
      <w:pPr>
        <w:pStyle w:val="ListBullet"/>
      </w:pPr>
      <w:r w:rsidRPr="00DD301B">
        <w:t>where the assessor does not meet experience requirements a co-assessment or partnership arrangement must exist between the qualified assessor and an Industry subject matter expert. The Ind</w:t>
      </w:r>
      <w:r w:rsidRPr="00DD301B">
        <w:t>ustry subject matter expert should hold the unit being assessed (or an equivalent unit) and/or demonstrate equivalence of skills and knowledge at the unit level. An Industry technical expert must also demonstrate skills and knowledge from the minimum years</w:t>
      </w:r>
      <w:r w:rsidRPr="00DD301B">
        <w:t xml:space="preserve"> of current work experience specified below in the Industry sector, including time spent in roles related to the unit being assessed; and,</w:t>
      </w:r>
    </w:p>
    <w:p w:rsidR="00000000" w:rsidRPr="00DD301B" w:rsidP="00DD301B">
      <w:pPr>
        <w:pStyle w:val="ListBullet"/>
      </w:pPr>
      <w:r w:rsidRPr="00DD301B">
        <w:t>assessor and Industry subject matter expe</w:t>
      </w:r>
      <w:r w:rsidRPr="00DD301B">
        <w:t>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D30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Heading4"/>
              <w:rPr>
                <w:lang w:val="en-NZ"/>
              </w:rPr>
            </w:pPr>
            <w:r w:rsidRPr="00DD301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Heading4"/>
              <w:rPr>
                <w:lang w:val="en-NZ"/>
              </w:rPr>
            </w:pPr>
            <w:r w:rsidRPr="00DD301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Heading4"/>
              <w:rPr>
                <w:lang w:val="en-NZ"/>
              </w:rPr>
            </w:pPr>
            <w:r w:rsidRPr="00DD301B">
              <w:t>Required assessor or Industry subject matter expert experience</w:t>
            </w:r>
          </w:p>
        </w:tc>
      </w:tr>
      <w:tr w:rsidTr="00DD301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Drill</w:t>
            </w:r>
            <w:r w:rsidRPr="00DD301B">
              <w:t>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1 Year</w:t>
            </w:r>
          </w:p>
        </w:tc>
      </w:tr>
      <w:tr w:rsidTr="00DD301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2 Years</w:t>
            </w:r>
          </w:p>
        </w:tc>
      </w:tr>
      <w:tr w:rsidTr="00DD30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3 Years</w:t>
            </w:r>
          </w:p>
        </w:tc>
      </w:tr>
      <w:tr w:rsidTr="00DD30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5 Years</w:t>
            </w:r>
          </w:p>
        </w:tc>
      </w:tr>
      <w:tr w:rsidTr="00DD30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01B">
            <w:pPr>
              <w:pStyle w:val="BodyText"/>
              <w:rPr>
                <w:lang w:val="en-NZ"/>
              </w:rPr>
            </w:pPr>
            <w:r w:rsidRPr="00DD301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301B" w:rsidP="00DD301B">
            <w:pPr>
              <w:pStyle w:val="BodyText"/>
            </w:pPr>
            <w:r w:rsidRPr="00DD301B">
              <w:t>Where this Unit is being assessed outside of the Resources and Infrastructure Sectors assessor and/or Industry subject matter expert experience should be in-line with industry standards for the sector in which it is being assessed and where no Industry sta</w:t>
            </w:r>
            <w:r w:rsidRPr="00DD301B">
              <w:t>ndard is specified should comply with any relevant regulation.</w:t>
            </w:r>
          </w:p>
        </w:tc>
      </w:tr>
    </w:tbl>
    <w:p w:rsidR="00000000" w:rsidRPr="00DD301B" w:rsidP="00DD301B">
      <w:pPr>
        <w:pStyle w:val="BodyText"/>
      </w:pPr>
      <w:r w:rsidRPr="00DD301B">
        <w:t>*Assessors can demonstrate current work experience through employment within Industry in a role relevant to the outcomes of the Unit; or, for external assessors this can be demonstrated throu</w:t>
      </w:r>
      <w:r w:rsidRPr="00DD301B">
        <w:t>gh exposure to Industry by conducting frequent site assessments across various locations.</w:t>
      </w:r>
    </w:p>
    <w:p w:rsidR="00000000" w:rsidRPr="00DD301B" w:rsidP="00DD301B">
      <w:pPr>
        <w:pStyle w:val="BodyText"/>
      </w:pPr>
      <w:r w:rsidRPr="00DD301B">
        <w:t>**Where a unit is being delivered outside of a Qualification the first numeric character in the Unit code should be considered to indicate the AQF level</w:t>
      </w:r>
    </w:p>
    <w:p w:rsidR="00000000" w:rsidRPr="00DD301B" w:rsidP="00DD301B">
      <w:pPr>
        <w:pStyle w:val="AllowPageBreak"/>
      </w:pPr>
    </w:p>
    <w:p w:rsidR="00000000" w:rsidRPr="00DD301B" w:rsidP="00DD301B">
      <w:pPr>
        <w:pStyle w:val="Heading1"/>
      </w:pPr>
      <w:bookmarkStart w:id="5" w:name="O_689544"/>
      <w:bookmarkEnd w:id="5"/>
      <w:r w:rsidRPr="00DD301B">
        <w:t>Links</w:t>
      </w:r>
    </w:p>
    <w:p w:rsidR="00000000" w:rsidRPr="00DD301B" w:rsidP="00DD301B">
      <w:pPr>
        <w:pStyle w:val="BodyText"/>
      </w:pPr>
      <w:r w:rsidRPr="00DD301B">
        <w:t>SkillsDMC RII Companion Volumes - http://www.skillsdmc.com.au/</w:t>
      </w:r>
    </w:p>
    <w:p w:rsidR="00000000" w:rsidRPr="00DD301B" w:rsidP="00DD301B"/>
    <w:sectPr w:rsidSect="00DD3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1B" w:rsidRPr="003606B1" w:rsidP="00360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B1" w:rsidP="00DD3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606B1" w:rsidP="00DD301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3606B1" w:rsidP="00DD3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1B" w:rsidRPr="003606B1" w:rsidP="003606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B1" w:rsidRPr="002D2AF8" w:rsidP="00DD301B">
    <w:pPr>
      <w:pStyle w:val="Header"/>
      <w:framePr w:wrap="around"/>
    </w:pPr>
    <w:r>
      <w:fldChar w:fldCharType="begin"/>
    </w:r>
    <w:r>
      <w:instrText xml:space="preserve"> TITLE   \* MERGEFORMAT </w:instrText>
    </w:r>
    <w:r>
      <w:fldChar w:fldCharType="separate"/>
    </w:r>
    <w:r>
      <w:t>Assessment Requirements for RIINHB309D Conduct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3606B1" w:rsidP="00DD3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09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F21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EC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01B"/>
    <w:pPr>
      <w:spacing w:before="360" w:after="60"/>
      <w:outlineLvl w:val="0"/>
    </w:pPr>
    <w:rPr>
      <w:sz w:val="32"/>
    </w:rPr>
  </w:style>
  <w:style w:type="paragraph" w:styleId="Heading2">
    <w:name w:val="heading 2"/>
    <w:basedOn w:val="HeadingBase"/>
    <w:next w:val="BodyText"/>
    <w:link w:val="Heading2Char"/>
    <w:qFormat/>
    <w:rsid w:val="00DD301B"/>
    <w:pPr>
      <w:keepLines/>
      <w:spacing w:before="240" w:after="120"/>
      <w:outlineLvl w:val="1"/>
    </w:pPr>
    <w:rPr>
      <w:sz w:val="28"/>
      <w:szCs w:val="40"/>
    </w:rPr>
  </w:style>
  <w:style w:type="paragraph" w:styleId="Heading3">
    <w:name w:val="heading 3"/>
    <w:basedOn w:val="HeadingBase"/>
    <w:next w:val="BodyText"/>
    <w:link w:val="Heading3Char"/>
    <w:qFormat/>
    <w:rsid w:val="00DD301B"/>
    <w:pPr>
      <w:spacing w:before="180" w:after="120"/>
      <w:outlineLvl w:val="2"/>
    </w:pPr>
    <w:rPr>
      <w:spacing w:val="-10"/>
      <w:kern w:val="32"/>
    </w:rPr>
  </w:style>
  <w:style w:type="paragraph" w:styleId="Heading4">
    <w:name w:val="heading 4"/>
    <w:basedOn w:val="HeadingBase"/>
    <w:next w:val="BodyText"/>
    <w:link w:val="Heading4Char"/>
    <w:qFormat/>
    <w:rsid w:val="00DD301B"/>
    <w:pPr>
      <w:spacing w:before="160" w:after="120"/>
      <w:outlineLvl w:val="3"/>
    </w:pPr>
    <w:rPr>
      <w:sz w:val="22"/>
    </w:rPr>
  </w:style>
  <w:style w:type="paragraph" w:styleId="Heading5">
    <w:name w:val="heading 5"/>
    <w:basedOn w:val="HeadingBase"/>
    <w:next w:val="Normal"/>
    <w:link w:val="Heading5Char"/>
    <w:qFormat/>
    <w:rsid w:val="00DD301B"/>
    <w:pPr>
      <w:spacing w:before="80"/>
      <w:outlineLvl w:val="4"/>
    </w:pPr>
    <w:rPr>
      <w:color w:val="918585"/>
      <w:sz w:val="20"/>
    </w:rPr>
  </w:style>
  <w:style w:type="paragraph" w:styleId="Heading6">
    <w:name w:val="heading 6"/>
    <w:basedOn w:val="HeadingBase"/>
    <w:next w:val="Normal"/>
    <w:link w:val="Heading6Char"/>
    <w:qFormat/>
    <w:rsid w:val="00DD301B"/>
    <w:pPr>
      <w:spacing w:before="60"/>
      <w:outlineLvl w:val="5"/>
    </w:pPr>
    <w:rPr>
      <w:color w:val="918585"/>
      <w:sz w:val="20"/>
    </w:rPr>
  </w:style>
  <w:style w:type="paragraph" w:styleId="Heading7">
    <w:name w:val="heading 7"/>
    <w:basedOn w:val="Normal"/>
    <w:next w:val="Normal"/>
    <w:link w:val="Heading7Char"/>
    <w:qFormat/>
    <w:rsid w:val="00DD301B"/>
    <w:pPr>
      <w:ind w:left="720"/>
      <w:outlineLvl w:val="6"/>
    </w:pPr>
    <w:rPr>
      <w:i/>
    </w:rPr>
  </w:style>
  <w:style w:type="paragraph" w:styleId="Heading8">
    <w:name w:val="heading 8"/>
    <w:basedOn w:val="Normal"/>
    <w:next w:val="Normal"/>
    <w:link w:val="Heading8Char"/>
    <w:qFormat/>
    <w:rsid w:val="00DD301B"/>
    <w:pPr>
      <w:ind w:left="720"/>
      <w:outlineLvl w:val="7"/>
    </w:pPr>
    <w:rPr>
      <w:i/>
    </w:rPr>
  </w:style>
  <w:style w:type="paragraph" w:styleId="Heading9">
    <w:name w:val="heading 9"/>
    <w:basedOn w:val="Normal"/>
    <w:next w:val="Normal"/>
    <w:link w:val="Heading9Char"/>
    <w:qFormat/>
    <w:rsid w:val="00DD301B"/>
    <w:pPr>
      <w:ind w:left="720"/>
      <w:outlineLvl w:val="8"/>
    </w:pPr>
    <w:rPr>
      <w:i/>
    </w:rPr>
  </w:style>
  <w:style w:type="character" w:default="1" w:styleId="DefaultParagraphFont">
    <w:name w:val="Default Paragraph Font"/>
    <w:uiPriority w:val="1"/>
    <w:unhideWhenUsed/>
    <w:rsid w:val="00DD3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01B"/>
  </w:style>
  <w:style w:type="character" w:customStyle="1" w:styleId="Heading1Char">
    <w:name w:val="Heading 1 Char"/>
    <w:basedOn w:val="DefaultParagraphFont"/>
    <w:link w:val="Heading1"/>
    <w:rsid w:val="00DD301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D301B"/>
    <w:rPr>
      <w:rFonts w:ascii="Times New Roman" w:eastAsia="Times New Roman" w:hAnsi="Times New Roman" w:cs="Times New Roman"/>
      <w:b/>
      <w:szCs w:val="20"/>
      <w:lang w:eastAsia="en-US"/>
    </w:rPr>
  </w:style>
  <w:style w:type="paragraph" w:styleId="BodyText">
    <w:name w:val="Body Text"/>
    <w:basedOn w:val="Normal"/>
    <w:link w:val="BodyTextChar"/>
    <w:rsid w:val="00DD30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01B"/>
    <w:rPr>
      <w:rFonts w:ascii="Times New Roman" w:eastAsia="Times New Roman" w:hAnsi="Times New Roman" w:cs="Times New Roman"/>
      <w:sz w:val="24"/>
      <w:lang w:eastAsia="en-US"/>
    </w:rPr>
  </w:style>
  <w:style w:type="paragraph" w:styleId="ListBullet">
    <w:name w:val="List Bullet"/>
    <w:basedOn w:val="List"/>
    <w:rsid w:val="00DD301B"/>
    <w:pPr>
      <w:numPr>
        <w:numId w:val="14"/>
      </w:numPr>
      <w:tabs>
        <w:tab w:val="clear" w:pos="340"/>
      </w:tabs>
      <w:spacing w:before="40" w:after="40"/>
    </w:pPr>
  </w:style>
  <w:style w:type="paragraph" w:styleId="ListBullet2">
    <w:name w:val="List Bullet 2"/>
    <w:basedOn w:val="List2"/>
    <w:rsid w:val="00DD301B"/>
    <w:pPr>
      <w:numPr>
        <w:numId w:val="15"/>
      </w:numPr>
      <w:tabs>
        <w:tab w:val="clear" w:pos="680"/>
      </w:tabs>
    </w:pPr>
  </w:style>
  <w:style w:type="paragraph" w:customStyle="1" w:styleId="SuperHeading">
    <w:name w:val="SuperHeading"/>
    <w:basedOn w:val="Normal"/>
    <w:rsid w:val="00DD301B"/>
    <w:pPr>
      <w:spacing w:before="240" w:after="120"/>
      <w:outlineLvl w:val="0"/>
    </w:pPr>
    <w:rPr>
      <w:rFonts w:ascii="Times New Roman" w:hAnsi="Times New Roman"/>
      <w:b/>
      <w:sz w:val="32"/>
    </w:rPr>
  </w:style>
  <w:style w:type="paragraph" w:customStyle="1" w:styleId="AllowPageBreak">
    <w:name w:val="AllowPageBreak"/>
    <w:rsid w:val="00DD30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301B"/>
    <w:pPr>
      <w:numPr>
        <w:numId w:val="3"/>
      </w:numPr>
      <w:tabs>
        <w:tab w:val="clear" w:pos="1021"/>
      </w:tabs>
      <w:ind w:left="1037" w:hanging="357"/>
    </w:pPr>
  </w:style>
  <w:style w:type="character" w:customStyle="1" w:styleId="Heading2Char">
    <w:name w:val="Heading 2 Char"/>
    <w:basedOn w:val="DefaultParagraphFont"/>
    <w:link w:val="Heading2"/>
    <w:rsid w:val="00DD3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01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D3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01B"/>
    <w:rPr>
      <w:rFonts w:ascii="Courier New" w:eastAsia="Times New Roman" w:hAnsi="Courier New" w:cs="Times New Roman"/>
      <w:i/>
      <w:szCs w:val="20"/>
      <w:lang w:eastAsia="en-US"/>
    </w:rPr>
  </w:style>
  <w:style w:type="paragraph" w:customStyle="1" w:styleId="HeadingBase">
    <w:name w:val="Heading Base"/>
    <w:rsid w:val="00DD3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01B"/>
    <w:pPr>
      <w:tabs>
        <w:tab w:val="right" w:leader="dot" w:pos="9072"/>
      </w:tabs>
      <w:ind w:left="567"/>
    </w:pPr>
    <w:rPr>
      <w:szCs w:val="22"/>
    </w:rPr>
  </w:style>
  <w:style w:type="paragraph" w:customStyle="1" w:styleId="TOCBase">
    <w:name w:val="TOC Base"/>
    <w:rsid w:val="00DD3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01B"/>
    <w:pPr>
      <w:tabs>
        <w:tab w:val="right" w:leader="dot" w:pos="9072"/>
      </w:tabs>
      <w:spacing w:before="40" w:after="40"/>
      <w:ind w:left="284"/>
    </w:pPr>
    <w:rPr>
      <w:rFonts w:ascii="Times New Roman" w:hAnsi="Times New Roman"/>
    </w:rPr>
  </w:style>
  <w:style w:type="paragraph" w:styleId="TOC1">
    <w:name w:val="toc 1"/>
    <w:basedOn w:val="TOCBase"/>
    <w:next w:val="Normal"/>
    <w:rsid w:val="00DD3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01B"/>
    <w:rPr>
      <w:rFonts w:ascii="Times New Roman" w:eastAsia="Times New Roman" w:hAnsi="Times New Roman" w:cs="Times New Roman"/>
      <w:sz w:val="16"/>
      <w:lang w:eastAsia="en-US"/>
    </w:rPr>
  </w:style>
  <w:style w:type="paragraph" w:styleId="Title">
    <w:name w:val="Title"/>
    <w:basedOn w:val="HeadingBase"/>
    <w:link w:val="TitleChar"/>
    <w:qFormat/>
    <w:rsid w:val="00DD301B"/>
    <w:pPr>
      <w:spacing w:before="5040"/>
      <w:jc w:val="center"/>
    </w:pPr>
    <w:rPr>
      <w:sz w:val="48"/>
      <w:szCs w:val="72"/>
      <w:lang w:val="en-US"/>
    </w:rPr>
  </w:style>
  <w:style w:type="character" w:customStyle="1" w:styleId="TitleChar">
    <w:name w:val="Title Char"/>
    <w:basedOn w:val="DefaultParagraphFont"/>
    <w:link w:val="Title"/>
    <w:rsid w:val="00DD3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01B"/>
    <w:pPr>
      <w:tabs>
        <w:tab w:val="left" w:pos="3600"/>
        <w:tab w:val="left" w:pos="3958"/>
      </w:tabs>
    </w:pPr>
  </w:style>
  <w:style w:type="paragraph" w:styleId="List">
    <w:name w:val="List"/>
    <w:basedOn w:val="BodyText"/>
    <w:next w:val="BodyText"/>
    <w:rsid w:val="00DD301B"/>
    <w:pPr>
      <w:tabs>
        <w:tab w:val="left" w:pos="340"/>
      </w:tabs>
      <w:spacing w:before="60" w:after="60"/>
      <w:ind w:left="340" w:hanging="340"/>
    </w:pPr>
  </w:style>
  <w:style w:type="paragraph" w:customStyle="1" w:styleId="Note">
    <w:name w:val="Note"/>
    <w:basedOn w:val="BodyText"/>
    <w:rsid w:val="00DD30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301B"/>
    <w:rPr>
      <w:b/>
      <w:spacing w:val="0"/>
    </w:rPr>
  </w:style>
  <w:style w:type="paragraph" w:customStyle="1" w:styleId="SuperTitle">
    <w:name w:val="SuperTitle"/>
    <w:basedOn w:val="Title"/>
    <w:rsid w:val="00DD301B"/>
    <w:pPr>
      <w:framePr w:wrap="auto" w:hAnchor="text" w:y="6049"/>
    </w:pPr>
    <w:rPr>
      <w:color w:val="000000"/>
      <w:sz w:val="40"/>
    </w:rPr>
  </w:style>
  <w:style w:type="paragraph" w:customStyle="1" w:styleId="TOCTitle">
    <w:name w:val="TOCTitle"/>
    <w:basedOn w:val="Heading1"/>
    <w:rsid w:val="00DD301B"/>
    <w:pPr>
      <w:spacing w:after="240"/>
      <w:jc w:val="center"/>
      <w:outlineLvl w:val="9"/>
    </w:pPr>
    <w:rPr>
      <w:caps/>
    </w:rPr>
  </w:style>
  <w:style w:type="paragraph" w:customStyle="1" w:styleId="Version">
    <w:name w:val="Version"/>
    <w:rsid w:val="00DD3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01B"/>
    <w:pPr>
      <w:keepNext w:val="0"/>
      <w:tabs>
        <w:tab w:val="right" w:pos="4176"/>
      </w:tabs>
      <w:ind w:left="198" w:hanging="198"/>
    </w:pPr>
    <w:rPr>
      <w:rFonts w:ascii="Garamond" w:hAnsi="Garamond"/>
    </w:rPr>
  </w:style>
  <w:style w:type="paragraph" w:styleId="IndexHeading">
    <w:name w:val="index heading"/>
    <w:basedOn w:val="Normal"/>
    <w:next w:val="Index1"/>
    <w:semiHidden/>
    <w:rsid w:val="00DD301B"/>
    <w:pPr>
      <w:spacing w:before="120" w:after="120"/>
    </w:pPr>
    <w:rPr>
      <w:rFonts w:ascii="Arial" w:hAnsi="Arial"/>
      <w:b/>
      <w:color w:val="918585"/>
      <w:sz w:val="24"/>
    </w:rPr>
  </w:style>
  <w:style w:type="paragraph" w:styleId="Header">
    <w:name w:val="header"/>
    <w:basedOn w:val="Normal"/>
    <w:link w:val="HeaderChar"/>
    <w:rsid w:val="00DD3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01B"/>
    <w:rPr>
      <w:rFonts w:ascii="Times New Roman" w:eastAsia="Times New Roman" w:hAnsi="Times New Roman" w:cs="Times New Roman"/>
      <w:sz w:val="16"/>
      <w:szCs w:val="20"/>
      <w:lang w:val="en-GB" w:eastAsia="en-US"/>
    </w:rPr>
  </w:style>
  <w:style w:type="paragraph" w:customStyle="1" w:styleId="Chapter">
    <w:name w:val="Chapter"/>
    <w:basedOn w:val="Normal"/>
    <w:rsid w:val="00DD301B"/>
    <w:pPr>
      <w:spacing w:before="240"/>
    </w:pPr>
    <w:rPr>
      <w:rFonts w:ascii="Times New Roman" w:hAnsi="Times New Roman"/>
      <w:smallCaps/>
      <w:spacing w:val="80"/>
      <w:sz w:val="28"/>
    </w:rPr>
  </w:style>
  <w:style w:type="paragraph" w:customStyle="1" w:styleId="InChapter">
    <w:name w:val="InChapter"/>
    <w:basedOn w:val="Heading3"/>
    <w:rsid w:val="00DD301B"/>
    <w:pPr>
      <w:spacing w:after="240"/>
      <w:outlineLvl w:val="9"/>
    </w:pPr>
    <w:rPr>
      <w:noProof/>
    </w:rPr>
  </w:style>
  <w:style w:type="paragraph" w:styleId="Index2">
    <w:name w:val="index 2"/>
    <w:basedOn w:val="Normal"/>
    <w:next w:val="Normal"/>
    <w:semiHidden/>
    <w:rsid w:val="00DD301B"/>
    <w:pPr>
      <w:tabs>
        <w:tab w:val="right" w:pos="4176"/>
      </w:tabs>
      <w:ind w:left="568" w:hanging="284"/>
    </w:pPr>
    <w:rPr>
      <w:rFonts w:ascii="Garamond" w:hAnsi="Garamond"/>
    </w:rPr>
  </w:style>
  <w:style w:type="paragraph" w:customStyle="1" w:styleId="Byline">
    <w:name w:val="Byline"/>
    <w:rsid w:val="00DD3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01B"/>
    <w:pPr>
      <w:tabs>
        <w:tab w:val="clear" w:pos="3600"/>
        <w:tab w:val="clear" w:pos="3958"/>
      </w:tabs>
      <w:jc w:val="right"/>
    </w:pPr>
  </w:style>
  <w:style w:type="character" w:styleId="Emphasis">
    <w:name w:val="Emphasis"/>
    <w:basedOn w:val="DefaultParagraphFont"/>
    <w:qFormat/>
    <w:rsid w:val="00DD301B"/>
    <w:rPr>
      <w:i/>
    </w:rPr>
  </w:style>
  <w:style w:type="paragraph" w:styleId="Caption">
    <w:name w:val="caption"/>
    <w:basedOn w:val="BodyText"/>
    <w:next w:val="Normal"/>
    <w:qFormat/>
    <w:rsid w:val="00DD301B"/>
    <w:pPr>
      <w:framePr w:w="2268" w:hSpace="181" w:vSpace="181" w:wrap="around" w:vAnchor="text" w:hAnchor="page" w:x="1135" w:y="285" w:anchorLock="1"/>
    </w:pPr>
    <w:rPr>
      <w:i/>
    </w:rPr>
  </w:style>
  <w:style w:type="paragraph" w:customStyle="1" w:styleId="MiniTOCTitle">
    <w:name w:val="MiniTOCTitle"/>
    <w:basedOn w:val="Heading4"/>
    <w:rsid w:val="00DD301B"/>
    <w:pPr>
      <w:spacing w:before="240"/>
      <w:outlineLvl w:val="9"/>
    </w:pPr>
    <w:rPr>
      <w:noProof/>
      <w:sz w:val="24"/>
    </w:rPr>
  </w:style>
  <w:style w:type="paragraph" w:customStyle="1" w:styleId="MiniTOCItem">
    <w:name w:val="MiniTOCItem"/>
    <w:basedOn w:val="ListBullet"/>
    <w:rsid w:val="00DD301B"/>
    <w:pPr>
      <w:numPr>
        <w:numId w:val="0"/>
      </w:numPr>
      <w:tabs>
        <w:tab w:val="right" w:leader="dot" w:pos="6521"/>
      </w:tabs>
      <w:spacing w:before="0" w:after="0"/>
    </w:pPr>
  </w:style>
  <w:style w:type="paragraph" w:customStyle="1" w:styleId="TOFTitle">
    <w:name w:val="TOFTitle"/>
    <w:basedOn w:val="TOCTitle"/>
    <w:rsid w:val="00DD301B"/>
  </w:style>
  <w:style w:type="paragraph" w:styleId="TableofFigures">
    <w:name w:val="table of figures"/>
    <w:basedOn w:val="Normal"/>
    <w:next w:val="Normal"/>
    <w:semiHidden/>
    <w:rsid w:val="00DD301B"/>
    <w:pPr>
      <w:tabs>
        <w:tab w:val="right" w:leader="dot" w:pos="9072"/>
      </w:tabs>
      <w:ind w:left="970" w:hanging="403"/>
    </w:pPr>
    <w:rPr>
      <w:rFonts w:ascii="Times New Roman" w:hAnsi="Times New Roman"/>
      <w:b/>
    </w:rPr>
  </w:style>
  <w:style w:type="paragraph" w:styleId="ListNumber">
    <w:name w:val="List Number"/>
    <w:basedOn w:val="List"/>
    <w:rsid w:val="00DD301B"/>
    <w:pPr>
      <w:numPr>
        <w:numId w:val="12"/>
      </w:numPr>
    </w:pPr>
  </w:style>
  <w:style w:type="character" w:customStyle="1" w:styleId="WingdingSymbols">
    <w:name w:val="Wingding Symbols"/>
    <w:rsid w:val="00DD301B"/>
    <w:rPr>
      <w:rFonts w:ascii="Wingdings" w:hAnsi="Wingdings"/>
    </w:rPr>
  </w:style>
  <w:style w:type="paragraph" w:customStyle="1" w:styleId="TableHeading">
    <w:name w:val="Table Heading"/>
    <w:basedOn w:val="HeadingBase"/>
    <w:rsid w:val="00DD301B"/>
    <w:pPr>
      <w:keepLines/>
      <w:pBdr>
        <w:bottom w:val="single" w:sz="6" w:space="1" w:color="918585"/>
      </w:pBdr>
      <w:spacing w:before="240"/>
    </w:pPr>
  </w:style>
  <w:style w:type="character" w:customStyle="1" w:styleId="HotSpot">
    <w:name w:val="HotSpot"/>
    <w:rsid w:val="00DD301B"/>
    <w:rPr>
      <w:color w:val="0033CC"/>
      <w:u w:val="none"/>
    </w:rPr>
  </w:style>
  <w:style w:type="paragraph" w:customStyle="1" w:styleId="BodyTextRight">
    <w:name w:val="Body Text Right"/>
    <w:basedOn w:val="BodyText"/>
    <w:rsid w:val="00DD301B"/>
    <w:pPr>
      <w:spacing w:before="0" w:after="0"/>
      <w:jc w:val="right"/>
    </w:pPr>
  </w:style>
  <w:style w:type="paragraph" w:styleId="Index3">
    <w:name w:val="index 3"/>
    <w:basedOn w:val="ListNumber2"/>
    <w:next w:val="Normal"/>
    <w:semiHidden/>
    <w:rsid w:val="00DD301B"/>
    <w:pPr>
      <w:numPr>
        <w:numId w:val="0"/>
      </w:numPr>
      <w:tabs>
        <w:tab w:val="right" w:leader="dot" w:pos="4176"/>
      </w:tabs>
    </w:pPr>
  </w:style>
  <w:style w:type="paragraph" w:styleId="ListNumber2">
    <w:name w:val="List Number 2"/>
    <w:basedOn w:val="List2"/>
    <w:rsid w:val="00DD301B"/>
    <w:pPr>
      <w:numPr>
        <w:numId w:val="11"/>
      </w:numPr>
      <w:tabs>
        <w:tab w:val="clear" w:pos="1060"/>
      </w:tabs>
    </w:pPr>
  </w:style>
  <w:style w:type="paragraph" w:customStyle="1" w:styleId="MarginNote">
    <w:name w:val="Margin Note"/>
    <w:basedOn w:val="BodyText"/>
    <w:rsid w:val="00DD3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01B"/>
    <w:rPr>
      <w:sz w:val="32"/>
    </w:rPr>
  </w:style>
  <w:style w:type="paragraph" w:customStyle="1" w:styleId="HeadingProcedure">
    <w:name w:val="Heading Procedure"/>
    <w:basedOn w:val="HeadingBase"/>
    <w:next w:val="Normal"/>
    <w:rsid w:val="00DD301B"/>
    <w:pPr>
      <w:tabs>
        <w:tab w:val="left" w:pos="0"/>
      </w:tabs>
      <w:spacing w:before="120" w:after="60"/>
    </w:pPr>
    <w:rPr>
      <w:i/>
      <w:color w:val="918585"/>
      <w:sz w:val="22"/>
    </w:rPr>
  </w:style>
  <w:style w:type="paragraph" w:customStyle="1" w:styleId="TableBodyText">
    <w:name w:val="Table Body Text"/>
    <w:basedOn w:val="BodyText"/>
    <w:rsid w:val="00DD301B"/>
    <w:pPr>
      <w:spacing w:before="60" w:after="60"/>
    </w:pPr>
  </w:style>
  <w:style w:type="paragraph" w:styleId="ListContinue">
    <w:name w:val="List Continue"/>
    <w:basedOn w:val="List"/>
    <w:rsid w:val="00DD301B"/>
    <w:pPr>
      <w:ind w:firstLine="0"/>
    </w:pPr>
  </w:style>
  <w:style w:type="paragraph" w:customStyle="1" w:styleId="ListNote">
    <w:name w:val="List Note"/>
    <w:basedOn w:val="List"/>
    <w:rsid w:val="00DD301B"/>
    <w:pPr>
      <w:pBdr>
        <w:top w:val="single" w:sz="6" w:space="2" w:color="918585"/>
        <w:bottom w:val="single" w:sz="6" w:space="2" w:color="918585"/>
      </w:pBdr>
      <w:tabs>
        <w:tab w:val="left" w:pos="1021"/>
      </w:tabs>
      <w:ind w:firstLine="0"/>
    </w:pPr>
  </w:style>
  <w:style w:type="paragraph" w:customStyle="1" w:styleId="Warning">
    <w:name w:val="Warning"/>
    <w:basedOn w:val="BodyText"/>
    <w:rsid w:val="00DD301B"/>
    <w:pPr>
      <w:shd w:val="clear" w:color="auto" w:fill="D9D9D9"/>
      <w:tabs>
        <w:tab w:val="left" w:pos="992"/>
      </w:tabs>
      <w:ind w:left="119" w:right="119"/>
    </w:pPr>
    <w:rPr>
      <w:sz w:val="20"/>
    </w:rPr>
  </w:style>
  <w:style w:type="paragraph" w:customStyle="1" w:styleId="MarginIcons">
    <w:name w:val="Margin Icons"/>
    <w:basedOn w:val="BodyText"/>
    <w:rsid w:val="00DD3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01B"/>
    <w:rPr>
      <w:rFonts w:ascii="Courier New" w:hAnsi="Courier New"/>
    </w:rPr>
  </w:style>
  <w:style w:type="paragraph" w:customStyle="1" w:styleId="NoteBullet">
    <w:name w:val="Note Bullet"/>
    <w:basedOn w:val="Note"/>
    <w:rsid w:val="00DD301B"/>
    <w:pPr>
      <w:tabs>
        <w:tab w:val="clear" w:pos="680"/>
      </w:tabs>
      <w:spacing w:before="60" w:after="60"/>
    </w:pPr>
  </w:style>
  <w:style w:type="paragraph" w:customStyle="1" w:styleId="SubHeading2">
    <w:name w:val="SubHeading2"/>
    <w:basedOn w:val="HeadingBase"/>
    <w:rsid w:val="00DD301B"/>
    <w:pPr>
      <w:spacing w:before="240" w:after="60"/>
    </w:pPr>
    <w:rPr>
      <w:sz w:val="20"/>
    </w:rPr>
  </w:style>
  <w:style w:type="paragraph" w:customStyle="1" w:styleId="SubHeading1">
    <w:name w:val="SubHeading1"/>
    <w:basedOn w:val="HeadingBase"/>
    <w:rsid w:val="00DD301B"/>
    <w:pPr>
      <w:spacing w:before="240" w:after="60"/>
    </w:pPr>
    <w:rPr>
      <w:color w:val="918585"/>
      <w:sz w:val="22"/>
    </w:rPr>
  </w:style>
  <w:style w:type="paragraph" w:customStyle="1" w:styleId="SideHeading">
    <w:name w:val="Side Heading"/>
    <w:basedOn w:val="HeadingBase"/>
    <w:rsid w:val="00DD3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01B"/>
    <w:pPr>
      <w:numPr>
        <w:numId w:val="13"/>
      </w:numPr>
    </w:pPr>
  </w:style>
  <w:style w:type="paragraph" w:styleId="PlainText">
    <w:name w:val="Plain Text"/>
    <w:basedOn w:val="Normal"/>
    <w:link w:val="PlainTextChar"/>
    <w:rsid w:val="00DD301B"/>
    <w:rPr>
      <w:sz w:val="20"/>
    </w:rPr>
  </w:style>
  <w:style w:type="character" w:customStyle="1" w:styleId="PlainTextChar">
    <w:name w:val="Plain Text Char"/>
    <w:basedOn w:val="DefaultParagraphFont"/>
    <w:link w:val="PlainText"/>
    <w:rsid w:val="00DD301B"/>
    <w:rPr>
      <w:rFonts w:ascii="Courier New" w:eastAsia="Times New Roman" w:hAnsi="Courier New" w:cs="Times New Roman"/>
      <w:sz w:val="20"/>
      <w:szCs w:val="20"/>
      <w:lang w:eastAsia="en-US"/>
    </w:rPr>
  </w:style>
  <w:style w:type="character" w:customStyle="1" w:styleId="MenuOption">
    <w:name w:val="Menu Option"/>
    <w:basedOn w:val="DefaultParagraphFont"/>
    <w:rsid w:val="00DD301B"/>
    <w:rPr>
      <w:b/>
      <w:smallCaps/>
    </w:rPr>
  </w:style>
  <w:style w:type="paragraph" w:customStyle="1" w:styleId="TableListNumber">
    <w:name w:val="Table List Number"/>
    <w:basedOn w:val="ListNumber"/>
    <w:rsid w:val="00DD301B"/>
    <w:pPr>
      <w:numPr>
        <w:numId w:val="0"/>
      </w:numPr>
    </w:pPr>
  </w:style>
  <w:style w:type="paragraph" w:styleId="TOC4">
    <w:name w:val="toc 4"/>
    <w:basedOn w:val="TOCBase"/>
    <w:next w:val="Normal"/>
    <w:semiHidden/>
    <w:rsid w:val="00DD301B"/>
    <w:pPr>
      <w:tabs>
        <w:tab w:val="right" w:leader="dot" w:pos="9071"/>
      </w:tabs>
      <w:ind w:left="1701"/>
    </w:pPr>
  </w:style>
  <w:style w:type="paragraph" w:customStyle="1" w:styleId="ListAlpha">
    <w:name w:val="List Alpha"/>
    <w:basedOn w:val="List"/>
    <w:rsid w:val="00DD301B"/>
    <w:pPr>
      <w:numPr>
        <w:numId w:val="10"/>
      </w:numPr>
    </w:pPr>
  </w:style>
  <w:style w:type="paragraph" w:customStyle="1" w:styleId="ListAlpha2">
    <w:name w:val="List Alpha 2"/>
    <w:basedOn w:val="List2"/>
    <w:rsid w:val="00DD301B"/>
    <w:pPr>
      <w:numPr>
        <w:numId w:val="9"/>
      </w:numPr>
    </w:pPr>
  </w:style>
  <w:style w:type="paragraph" w:styleId="List2">
    <w:name w:val="List 2"/>
    <w:basedOn w:val="BodyText"/>
    <w:rsid w:val="00DD301B"/>
    <w:pPr>
      <w:tabs>
        <w:tab w:val="left" w:pos="680"/>
      </w:tabs>
      <w:spacing w:before="60" w:after="60"/>
      <w:ind w:left="680" w:hanging="340"/>
    </w:pPr>
  </w:style>
  <w:style w:type="paragraph" w:styleId="List3">
    <w:name w:val="List 3"/>
    <w:basedOn w:val="BodyText"/>
    <w:rsid w:val="00DD301B"/>
    <w:pPr>
      <w:tabs>
        <w:tab w:val="left" w:pos="1021"/>
      </w:tabs>
      <w:spacing w:before="60" w:after="60"/>
      <w:ind w:left="1020" w:hanging="340"/>
    </w:pPr>
  </w:style>
  <w:style w:type="paragraph" w:styleId="List4">
    <w:name w:val="List 4"/>
    <w:basedOn w:val="BodyText"/>
    <w:rsid w:val="00DD301B"/>
    <w:pPr>
      <w:tabs>
        <w:tab w:val="left" w:pos="1361"/>
      </w:tabs>
      <w:spacing w:before="60" w:after="60"/>
      <w:ind w:left="1361" w:hanging="340"/>
    </w:pPr>
  </w:style>
  <w:style w:type="paragraph" w:styleId="List5">
    <w:name w:val="List 5"/>
    <w:basedOn w:val="BodyText"/>
    <w:rsid w:val="00DD301B"/>
    <w:pPr>
      <w:tabs>
        <w:tab w:val="left" w:pos="1701"/>
      </w:tabs>
      <w:spacing w:before="60" w:after="60"/>
      <w:ind w:left="1701" w:hanging="340"/>
    </w:pPr>
  </w:style>
  <w:style w:type="paragraph" w:styleId="ListBullet4">
    <w:name w:val="List Bullet 4"/>
    <w:basedOn w:val="List4"/>
    <w:rsid w:val="00DD301B"/>
    <w:pPr>
      <w:numPr>
        <w:numId w:val="4"/>
      </w:numPr>
      <w:tabs>
        <w:tab w:val="clear" w:pos="1361"/>
      </w:tabs>
    </w:pPr>
  </w:style>
  <w:style w:type="paragraph" w:styleId="ListBullet5">
    <w:name w:val="List Bullet 5"/>
    <w:basedOn w:val="List5"/>
    <w:rsid w:val="00DD301B"/>
    <w:pPr>
      <w:numPr>
        <w:numId w:val="5"/>
      </w:numPr>
    </w:pPr>
  </w:style>
  <w:style w:type="paragraph" w:styleId="ListContinue2">
    <w:name w:val="List Continue 2"/>
    <w:basedOn w:val="List2"/>
    <w:rsid w:val="00DD301B"/>
    <w:pPr>
      <w:ind w:firstLine="0"/>
    </w:pPr>
  </w:style>
  <w:style w:type="paragraph" w:styleId="ListContinue3">
    <w:name w:val="List Continue 3"/>
    <w:basedOn w:val="List3"/>
    <w:rsid w:val="00DD301B"/>
    <w:pPr>
      <w:ind w:left="1021" w:firstLine="0"/>
    </w:pPr>
  </w:style>
  <w:style w:type="paragraph" w:styleId="ListContinue4">
    <w:name w:val="List Continue 4"/>
    <w:basedOn w:val="List4"/>
    <w:rsid w:val="00DD301B"/>
    <w:pPr>
      <w:ind w:firstLine="0"/>
    </w:pPr>
  </w:style>
  <w:style w:type="paragraph" w:styleId="ListContinue5">
    <w:name w:val="List Continue 5"/>
    <w:basedOn w:val="List5"/>
    <w:rsid w:val="00DD301B"/>
    <w:pPr>
      <w:ind w:firstLine="0"/>
    </w:pPr>
  </w:style>
  <w:style w:type="paragraph" w:styleId="ListNumber3">
    <w:name w:val="List Number 3"/>
    <w:basedOn w:val="List3"/>
    <w:rsid w:val="00DD301B"/>
    <w:pPr>
      <w:numPr>
        <w:numId w:val="6"/>
      </w:numPr>
    </w:pPr>
  </w:style>
  <w:style w:type="paragraph" w:styleId="ListNumber4">
    <w:name w:val="List Number 4"/>
    <w:basedOn w:val="List4"/>
    <w:rsid w:val="00DD301B"/>
    <w:pPr>
      <w:numPr>
        <w:numId w:val="7"/>
      </w:numPr>
    </w:pPr>
  </w:style>
  <w:style w:type="paragraph" w:styleId="ListNumber5">
    <w:name w:val="List Number 5"/>
    <w:basedOn w:val="List5"/>
    <w:rsid w:val="00DD301B"/>
    <w:pPr>
      <w:numPr>
        <w:numId w:val="8"/>
      </w:numPr>
    </w:pPr>
  </w:style>
  <w:style w:type="paragraph" w:styleId="BlockText">
    <w:name w:val="Block Text"/>
    <w:basedOn w:val="Normal"/>
    <w:rsid w:val="00DD301B"/>
    <w:pPr>
      <w:spacing w:after="120"/>
      <w:ind w:left="1440" w:right="1440"/>
    </w:pPr>
  </w:style>
  <w:style w:type="character" w:customStyle="1" w:styleId="Subscript">
    <w:name w:val="Subscript"/>
    <w:basedOn w:val="DefaultParagraphFont"/>
    <w:rsid w:val="00DD301B"/>
    <w:rPr>
      <w:sz w:val="16"/>
      <w:vertAlign w:val="subscript"/>
    </w:rPr>
  </w:style>
  <w:style w:type="character" w:customStyle="1" w:styleId="Superscript">
    <w:name w:val="Superscript"/>
    <w:basedOn w:val="DefaultParagraphFont"/>
    <w:rsid w:val="00DD301B"/>
    <w:rPr>
      <w:sz w:val="16"/>
      <w:vertAlign w:val="superscript"/>
    </w:rPr>
  </w:style>
  <w:style w:type="character" w:customStyle="1" w:styleId="Symbols">
    <w:name w:val="Symbols"/>
    <w:basedOn w:val="DefaultParagraphFont"/>
    <w:rsid w:val="00DD301B"/>
    <w:rPr>
      <w:rFonts w:ascii="Symbol" w:hAnsi="Symbol"/>
    </w:rPr>
  </w:style>
  <w:style w:type="character" w:customStyle="1" w:styleId="MenuOptions">
    <w:name w:val="Menu Options"/>
    <w:basedOn w:val="DefaultParagraphFont"/>
    <w:rsid w:val="00DD301B"/>
    <w:rPr>
      <w:rFonts w:ascii="Arial Narrow" w:hAnsi="Arial Narrow"/>
      <w:smallCaps/>
    </w:rPr>
  </w:style>
  <w:style w:type="character" w:customStyle="1" w:styleId="Buttons">
    <w:name w:val="Buttons"/>
    <w:basedOn w:val="DefaultParagraphFont"/>
    <w:rsid w:val="00DD301B"/>
    <w:rPr>
      <w:b/>
    </w:rPr>
  </w:style>
  <w:style w:type="character" w:customStyle="1" w:styleId="Underlined">
    <w:name w:val="Underlined"/>
    <w:basedOn w:val="DefaultParagraphFont"/>
    <w:rsid w:val="00DD301B"/>
    <w:rPr>
      <w:u w:val="single"/>
    </w:rPr>
  </w:style>
  <w:style w:type="paragraph" w:customStyle="1" w:styleId="TableBodyTextRight">
    <w:name w:val="Table Body Text Right"/>
    <w:basedOn w:val="TableBodyText"/>
    <w:rsid w:val="00DD301B"/>
    <w:pPr>
      <w:widowControl w:val="0"/>
      <w:autoSpaceDE w:val="0"/>
      <w:autoSpaceDN w:val="0"/>
      <w:adjustRightInd w:val="0"/>
      <w:jc w:val="right"/>
    </w:pPr>
    <w:rPr>
      <w:rFonts w:cs="Arial"/>
      <w:szCs w:val="18"/>
    </w:rPr>
  </w:style>
  <w:style w:type="paragraph" w:customStyle="1" w:styleId="CopyrightText">
    <w:name w:val="Copyright Text"/>
    <w:basedOn w:val="BodyText"/>
    <w:rsid w:val="00DD301B"/>
    <w:rPr>
      <w:sz w:val="18"/>
    </w:rPr>
  </w:style>
  <w:style w:type="paragraph" w:customStyle="1" w:styleId="BodySmallRight">
    <w:name w:val="Body Small Right"/>
    <w:basedOn w:val="BodyTextRight"/>
    <w:rsid w:val="00DD301B"/>
    <w:rPr>
      <w:sz w:val="18"/>
      <w:szCs w:val="18"/>
    </w:rPr>
  </w:style>
  <w:style w:type="paragraph" w:customStyle="1" w:styleId="MarginEdition">
    <w:name w:val="Margin Edition"/>
    <w:basedOn w:val="MarginNote"/>
    <w:rsid w:val="00DD301B"/>
    <w:pPr>
      <w:spacing w:before="0" w:after="0"/>
    </w:pPr>
    <w:rPr>
      <w:rFonts w:ascii="Times New Roman" w:hAnsi="Times New Roman"/>
      <w:color w:val="999999"/>
    </w:rPr>
  </w:style>
  <w:style w:type="paragraph" w:customStyle="1" w:styleId="Spacer">
    <w:name w:val="Spacer"/>
    <w:basedOn w:val="Normal"/>
    <w:rsid w:val="00DD301B"/>
    <w:rPr>
      <w:sz w:val="2"/>
      <w:szCs w:val="2"/>
    </w:rPr>
  </w:style>
  <w:style w:type="character" w:customStyle="1" w:styleId="Small">
    <w:name w:val="Small"/>
    <w:basedOn w:val="DefaultParagraphFont"/>
    <w:rsid w:val="00DD301B"/>
    <w:rPr>
      <w:sz w:val="16"/>
    </w:rPr>
  </w:style>
  <w:style w:type="paragraph" w:customStyle="1" w:styleId="WideTable">
    <w:name w:val="Wide Table"/>
    <w:basedOn w:val="Normal"/>
    <w:rsid w:val="00DD301B"/>
    <w:pPr>
      <w:ind w:left="-1418"/>
    </w:pPr>
    <w:rPr>
      <w:sz w:val="2"/>
      <w:szCs w:val="2"/>
    </w:rPr>
  </w:style>
  <w:style w:type="character" w:styleId="PageNumber">
    <w:name w:val="page number"/>
    <w:basedOn w:val="DefaultParagraphFont"/>
    <w:rsid w:val="00DD301B"/>
  </w:style>
  <w:style w:type="paragraph" w:styleId="Quote">
    <w:name w:val="Quote"/>
    <w:basedOn w:val="Heading1"/>
    <w:link w:val="QuoteChar"/>
    <w:qFormat/>
    <w:rsid w:val="00DD301B"/>
    <w:rPr>
      <w:b w:val="0"/>
      <w:sz w:val="72"/>
      <w:szCs w:val="72"/>
      <w:lang w:val="en-NZ"/>
    </w:rPr>
  </w:style>
  <w:style w:type="character" w:customStyle="1" w:styleId="QuoteChar">
    <w:name w:val="Quote Char"/>
    <w:basedOn w:val="DefaultParagraphFont"/>
    <w:link w:val="Quote"/>
    <w:rsid w:val="00DD3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01B"/>
    <w:pPr>
      <w:pageBreakBefore/>
    </w:pPr>
  </w:style>
  <w:style w:type="paragraph" w:customStyle="1" w:styleId="Border">
    <w:name w:val="Border"/>
    <w:basedOn w:val="Normal"/>
    <w:qFormat/>
    <w:rsid w:val="00DD3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01B"/>
    <w:rPr>
      <w:b/>
      <w:bCs/>
      <w:i/>
      <w:iCs/>
      <w:color w:val="auto"/>
    </w:rPr>
  </w:style>
  <w:style w:type="paragraph" w:styleId="IntenseQuote">
    <w:name w:val="Intense Quote"/>
    <w:basedOn w:val="Normal"/>
    <w:next w:val="Normal"/>
    <w:link w:val="IntenseQuoteChar"/>
    <w:uiPriority w:val="30"/>
    <w:qFormat/>
    <w:rsid w:val="00DD3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01B"/>
    <w:rPr>
      <w:smallCaps/>
      <w:color w:val="auto"/>
      <w:u w:val="single"/>
    </w:rPr>
  </w:style>
  <w:style w:type="character" w:styleId="IntenseReference">
    <w:name w:val="Intense Reference"/>
    <w:basedOn w:val="DefaultParagraphFont"/>
    <w:uiPriority w:val="32"/>
    <w:qFormat/>
    <w:rsid w:val="00DD301B"/>
    <w:rPr>
      <w:b/>
      <w:bCs/>
      <w:smallCaps/>
      <w:color w:val="auto"/>
      <w:spacing w:val="5"/>
      <w:u w:val="single"/>
    </w:rPr>
  </w:style>
  <w:style w:type="paragraph" w:customStyle="1" w:styleId="2ColumnHeading">
    <w:name w:val="2Column Heading"/>
    <w:basedOn w:val="BodyText"/>
    <w:qFormat/>
    <w:rsid w:val="00DD301B"/>
    <w:pPr>
      <w:spacing w:after="60"/>
      <w:ind w:left="-2268"/>
    </w:pPr>
    <w:rPr>
      <w:b/>
    </w:rPr>
  </w:style>
  <w:style w:type="paragraph" w:customStyle="1" w:styleId="Heading1TOC">
    <w:name w:val="Heading1 TOC"/>
    <w:basedOn w:val="Normal"/>
    <w:qFormat/>
    <w:rsid w:val="00DD301B"/>
    <w:pPr>
      <w:spacing w:before="240" w:after="120"/>
    </w:pPr>
    <w:rPr>
      <w:rFonts w:ascii="Times New Roman" w:hAnsi="Times New Roman"/>
      <w:b/>
      <w:sz w:val="32"/>
    </w:rPr>
  </w:style>
  <w:style w:type="paragraph" w:customStyle="1" w:styleId="Heading2TOC">
    <w:name w:val="Heading2 TOC"/>
    <w:basedOn w:val="Normal"/>
    <w:qFormat/>
    <w:rsid w:val="00DD301B"/>
    <w:pPr>
      <w:spacing w:before="240" w:after="60"/>
    </w:pPr>
    <w:rPr>
      <w:rFonts w:ascii="Times New Roman" w:hAnsi="Times New Roman"/>
      <w:b/>
      <w:sz w:val="28"/>
    </w:rPr>
  </w:style>
  <w:style w:type="character" w:customStyle="1" w:styleId="Underline">
    <w:name w:val="Underline"/>
    <w:basedOn w:val="DefaultParagraphFont"/>
    <w:qFormat/>
    <w:rsid w:val="00DD301B"/>
    <w:rPr>
      <w:u w:val="single"/>
    </w:rPr>
  </w:style>
  <w:style w:type="character" w:customStyle="1" w:styleId="BoldandItalics">
    <w:name w:val="Bold and Italics"/>
    <w:qFormat/>
    <w:rsid w:val="00DD301B"/>
    <w:rPr>
      <w:b/>
      <w:i/>
      <w:u w:val="none"/>
    </w:rPr>
  </w:style>
  <w:style w:type="paragraph" w:styleId="BalloonText">
    <w:name w:val="Balloon Text"/>
    <w:basedOn w:val="Normal"/>
    <w:link w:val="BalloonTextChar"/>
    <w:rsid w:val="00DD301B"/>
    <w:rPr>
      <w:rFonts w:ascii="Tahoma" w:hAnsi="Tahoma" w:cs="Tahoma"/>
      <w:sz w:val="16"/>
      <w:szCs w:val="16"/>
    </w:rPr>
  </w:style>
  <w:style w:type="character" w:customStyle="1" w:styleId="BalloonTextChar">
    <w:name w:val="Balloon Text Char"/>
    <w:basedOn w:val="DefaultParagraphFont"/>
    <w:link w:val="BalloonText"/>
    <w:rsid w:val="00DD3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0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01B"/>
    <w:rPr>
      <w:b/>
      <w:color w:val="660033"/>
      <w:spacing w:val="0"/>
    </w:rPr>
  </w:style>
  <w:style w:type="paragraph" w:customStyle="1" w:styleId="Nameditemlist">
    <w:name w:val="Named item list"/>
    <w:basedOn w:val="BodyText"/>
    <w:qFormat/>
    <w:rsid w:val="00DD30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5420</Characters>
  <Application>Microsoft Office Word</Application>
  <DocSecurity>0</DocSecurity>
  <Lines>134</Lines>
  <Paragraphs>79</Paragraphs>
  <ScaleCrop>false</ScaleCrop>
  <Company>Author-it Software Corporation Ltd.</Company>
  <LinksUpToDate>false</LinksUpToDate>
  <CharactersWithSpaces>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RIINHB309D Conduct guided boring</dc:title>
  <dc:subject>Approved</dc:subject>
  <dc:creator>SkillsDMC</dc:creator>
  <cp:keywords>Release: 2</cp:keywords>
  <dc:description>Review Date: 12 April 2008</dc:description>
  <cp:lastModifiedBy>HSD_TPCMSd.prod</cp:lastModifiedBy>
  <cp:revision>3</cp:revision>
  <dcterms:created xsi:type="dcterms:W3CDTF">2014-12-07T03:20:00Z</dcterms:created>
  <dcterms:modified xsi:type="dcterms:W3CDTF">2014-12-07T03:20:00Z</dcterms:modified>
</cp:coreProperties>
</file>