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FDA" w:rsidP="000B7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RIINHB306D Conduct large diameter auger drilling</w:t>
      </w:r>
      <w:r>
        <w:fldChar w:fldCharType="end"/>
      </w:r>
    </w:p>
    <w:p w:rsidR="000B7FDA" w:rsidP="000B7FDA">
      <w:pPr>
        <w:pStyle w:val="Version"/>
        <w:sectPr w:rsidSect="00210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0165" w:rsidP="00210165">
      <w:pPr>
        <w:pStyle w:val="SuperHeading"/>
      </w:pPr>
      <w:r w:rsidRPr="00210165">
        <w:t>Assessment Requirements for RIINHB306D Conduct large diameter auger drilling</w:t>
      </w:r>
    </w:p>
    <w:p w:rsidR="00000000" w:rsidRPr="00210165" w:rsidP="00210165">
      <w:pPr>
        <w:pStyle w:val="Heading1"/>
      </w:pPr>
      <w:bookmarkStart w:id="1" w:name="O_689447"/>
      <w:bookmarkEnd w:id="1"/>
      <w:r w:rsidRPr="002101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B7F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65">
            <w:pPr>
              <w:pStyle w:val="Heading4"/>
              <w:rPr>
                <w:lang w:val="en-NZ"/>
              </w:rPr>
            </w:pPr>
            <w:r w:rsidRPr="0021016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65">
            <w:pPr>
              <w:pStyle w:val="Heading4"/>
              <w:rPr>
                <w:lang w:val="en-NZ"/>
              </w:rPr>
            </w:pPr>
            <w:r w:rsidRPr="00210165">
              <w:t>Comment</w:t>
            </w:r>
          </w:p>
        </w:tc>
      </w:tr>
      <w:tr w:rsidTr="000B7F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This unit replaces RIINHB306A Conduct large diameter auger drilling</w:t>
            </w:r>
          </w:p>
        </w:tc>
      </w:tr>
      <w:tr w:rsidTr="000B7F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165" w:rsidP="00210165">
            <w:pPr>
              <w:pStyle w:val="BodyText"/>
            </w:pPr>
            <w:r w:rsidRPr="00210165">
              <w:t>Required frequency and volume of evidence amended in Performance evidence.</w:t>
            </w:r>
          </w:p>
          <w:p w:rsidR="00000000" w:rsidRPr="00210165" w:rsidP="00210165">
            <w:pPr>
              <w:pStyle w:val="BodyText"/>
            </w:pPr>
            <w:r w:rsidRPr="00210165">
              <w:t>Substantial amendments made in Assessment Conditions field, including: references to Industry Sectors, assessor and subject matter expert experience requirements, how assessment sho</w:t>
            </w:r>
            <w:r w:rsidRPr="00210165">
              <w:t>uld be conducted and what it should confirm.</w:t>
            </w:r>
          </w:p>
        </w:tc>
      </w:tr>
    </w:tbl>
    <w:p w:rsidR="00000000" w:rsidRPr="00210165" w:rsidP="00210165">
      <w:pPr>
        <w:pStyle w:val="BodyText"/>
      </w:pPr>
    </w:p>
    <w:p w:rsidR="00000000" w:rsidRPr="00210165" w:rsidP="00210165">
      <w:pPr>
        <w:pStyle w:val="AllowPageBreak"/>
      </w:pPr>
    </w:p>
    <w:p w:rsidR="00000000" w:rsidRPr="00210165" w:rsidP="00210165">
      <w:pPr>
        <w:pStyle w:val="Heading1"/>
      </w:pPr>
      <w:bookmarkStart w:id="2" w:name="O_689446"/>
      <w:bookmarkEnd w:id="2"/>
      <w:r w:rsidRPr="00210165">
        <w:t>Performance Evidence</w:t>
      </w:r>
    </w:p>
    <w:p w:rsidR="00000000" w:rsidRPr="00210165" w:rsidP="00210165">
      <w:pPr>
        <w:pStyle w:val="BodyText"/>
      </w:pPr>
      <w:r w:rsidRPr="00210165">
        <w:t>Evidence is required to be collected that demonstrates a candidate’s competency in this unit. Evidence must be relevant to the roles within this sector’</w:t>
      </w:r>
      <w:r w:rsidRPr="00210165">
        <w:t>s work operations and satisfy all of the requirements of the performance criteria of this unit and include evidence that the candidate:</w:t>
      </w:r>
    </w:p>
    <w:p w:rsidR="00000000" w:rsidRPr="00210165" w:rsidP="00210165">
      <w:pPr>
        <w:pStyle w:val="ListBullet2"/>
      </w:pPr>
      <w:r w:rsidRPr="00210165">
        <w:t>locates and applies relevant documentation, policies and procedures</w:t>
      </w:r>
    </w:p>
    <w:p w:rsidR="00000000" w:rsidRPr="00210165" w:rsidP="00210165">
      <w:pPr>
        <w:pStyle w:val="ListBullet2"/>
      </w:pPr>
      <w:r w:rsidRPr="00210165">
        <w:t>works effectively with others to undertake and comp</w:t>
      </w:r>
      <w:r w:rsidRPr="00210165">
        <w:t>lete the large diameter auger drilling tasks that meets all of the required outcomes including:</w:t>
      </w:r>
    </w:p>
    <w:p w:rsidR="00000000" w:rsidRPr="00210165" w:rsidP="00210165">
      <w:pPr>
        <w:pStyle w:val="ListBullet3"/>
      </w:pPr>
      <w:r w:rsidRPr="00210165">
        <w:t>complying with written and verbal reporting requirements and procedures</w:t>
      </w:r>
    </w:p>
    <w:p w:rsidR="00000000" w:rsidRPr="00210165" w:rsidP="00210165">
      <w:pPr>
        <w:pStyle w:val="ListBullet3"/>
      </w:pPr>
      <w:r w:rsidRPr="00210165">
        <w:t>communicating clearly and concisely with others to receive and clarify work instruction</w:t>
      </w:r>
      <w:r w:rsidRPr="00210165">
        <w:t>s</w:t>
      </w:r>
    </w:p>
    <w:p w:rsidR="00000000" w:rsidRPr="00210165" w:rsidP="00210165">
      <w:pPr>
        <w:pStyle w:val="ListBullet3"/>
      </w:pPr>
      <w:r w:rsidRPr="00210165">
        <w:t>communicating clearly and concisely with others to resolve coordination requirements prior to commencing and during work activities</w:t>
      </w:r>
    </w:p>
    <w:p w:rsidR="00000000" w:rsidRPr="00210165" w:rsidP="00210165">
      <w:pPr>
        <w:pStyle w:val="ListBullet"/>
      </w:pPr>
      <w:r w:rsidRPr="00210165">
        <w:t>demonstrates completion of large diameter auger drilling that safely, effectively and efficiently meets all of the requir</w:t>
      </w:r>
      <w:r w:rsidRPr="00210165">
        <w:t>ed outcomes on more than one (1) occasion including:</w:t>
      </w:r>
    </w:p>
    <w:p w:rsidR="00000000" w:rsidRPr="00210165" w:rsidP="00210165">
      <w:pPr>
        <w:pStyle w:val="ListBullet3"/>
      </w:pPr>
      <w:r w:rsidRPr="00210165">
        <w:t>collaring borehole, starting hole, maintaining hole alignment, taking corrective action for deflections</w:t>
      </w:r>
    </w:p>
    <w:p w:rsidR="00000000" w:rsidRPr="00210165" w:rsidP="00210165">
      <w:pPr>
        <w:pStyle w:val="ListBullet3"/>
      </w:pPr>
      <w:r w:rsidRPr="00210165">
        <w:t>making up appropriate drill string</w:t>
      </w:r>
    </w:p>
    <w:p w:rsidR="00000000" w:rsidRPr="00210165" w:rsidP="00210165">
      <w:pPr>
        <w:pStyle w:val="ListBullet3"/>
      </w:pPr>
      <w:r w:rsidRPr="00210165">
        <w:t>handling</w:t>
      </w:r>
      <w:r w:rsidRPr="00210165">
        <w:t xml:space="preserve"> additional drill stems, inserting them in the drill string</w:t>
      </w:r>
    </w:p>
    <w:p w:rsidR="00000000" w:rsidRPr="00210165" w:rsidP="00210165">
      <w:pPr>
        <w:pStyle w:val="ListBullet3"/>
      </w:pPr>
      <w:r w:rsidRPr="00210165">
        <w:t>using appropriate gears, rotation, feed and holdback so that flights or bucket are substantially full for the soil being drilled at any given depth</w:t>
      </w:r>
    </w:p>
    <w:p w:rsidR="00000000" w:rsidRPr="00210165" w:rsidP="00210165">
      <w:pPr>
        <w:pStyle w:val="ListBullet3"/>
      </w:pPr>
      <w:r w:rsidRPr="00210165">
        <w:t>interpreting drilling factors to determine condi</w:t>
      </w:r>
      <w:r w:rsidRPr="00210165">
        <w:t>tions at the bit</w:t>
      </w:r>
    </w:p>
    <w:p w:rsidR="00000000" w:rsidRPr="00210165" w:rsidP="00210165">
      <w:pPr>
        <w:pStyle w:val="ListBullet3"/>
      </w:pPr>
      <w:r w:rsidRPr="00210165">
        <w:t>selecting appropriate strategies for recovery of dropped augers</w:t>
      </w:r>
    </w:p>
    <w:p w:rsidR="00000000" w:rsidRPr="00210165" w:rsidP="00210165">
      <w:pPr>
        <w:pStyle w:val="ListBullet3"/>
      </w:pPr>
      <w:r w:rsidRPr="00210165">
        <w:t>recover drill string using winch and/or head/kelly</w:t>
      </w:r>
    </w:p>
    <w:p w:rsidR="00000000" w:rsidRPr="00210165" w:rsidP="00210165">
      <w:pPr>
        <w:pStyle w:val="ListBullet3"/>
      </w:pPr>
      <w:r w:rsidRPr="00210165">
        <w:t>inserting surface casing and deepen hole using smaller diameter auger or bucket, if required</w:t>
      </w:r>
    </w:p>
    <w:p w:rsidR="00000000" w:rsidRPr="00210165" w:rsidP="00210165">
      <w:pPr>
        <w:pStyle w:val="ListBullet3"/>
      </w:pPr>
      <w:r w:rsidRPr="00210165">
        <w:t xml:space="preserve">disassembling drill string and </w:t>
      </w:r>
      <w:r w:rsidRPr="00210165">
        <w:t>changing augers and bit components</w:t>
      </w:r>
    </w:p>
    <w:p w:rsidR="00000000" w:rsidRPr="00210165" w:rsidP="00210165">
      <w:pPr>
        <w:pStyle w:val="ListBullet3"/>
      </w:pPr>
      <w:r w:rsidRPr="00210165">
        <w:t>abandoning, covering/securing bores to ensure safety of others and crew</w:t>
      </w:r>
    </w:p>
    <w:p w:rsidR="00000000" w:rsidRPr="00210165" w:rsidP="00210165">
      <w:pPr>
        <w:pStyle w:val="AllowPageBreak"/>
      </w:pPr>
    </w:p>
    <w:p w:rsidR="00000000" w:rsidRPr="00210165" w:rsidP="00210165">
      <w:pPr>
        <w:pStyle w:val="Heading1"/>
      </w:pPr>
      <w:bookmarkStart w:id="3" w:name="O_689445"/>
      <w:bookmarkEnd w:id="3"/>
      <w:r w:rsidRPr="00210165">
        <w:t>Knowledge Evidence</w:t>
      </w:r>
    </w:p>
    <w:p w:rsidR="00000000" w:rsidRPr="00210165" w:rsidP="00210165">
      <w:pPr>
        <w:pStyle w:val="BodyText"/>
      </w:pPr>
      <w:r w:rsidRPr="00210165">
        <w:t>The candidate must demonstrate knowledge in conducting large diameter auger drilling through:</w:t>
      </w:r>
    </w:p>
    <w:p w:rsidR="00000000" w:rsidRPr="00210165" w:rsidP="00210165">
      <w:pPr>
        <w:pStyle w:val="ListBullet2"/>
      </w:pPr>
      <w:r w:rsidRPr="00210165">
        <w:t>accessing, interpreting and applying the organisation and site requirements and procedures for:</w:t>
      </w:r>
    </w:p>
    <w:p w:rsidR="00000000" w:rsidRPr="00210165" w:rsidP="00210165">
      <w:pPr>
        <w:pStyle w:val="ListBullet3"/>
      </w:pPr>
      <w:r w:rsidRPr="00210165">
        <w:t>work, health and safety</w:t>
      </w:r>
    </w:p>
    <w:p w:rsidR="00000000" w:rsidRPr="00210165" w:rsidP="00210165">
      <w:pPr>
        <w:pStyle w:val="ListBullet3"/>
      </w:pPr>
      <w:r w:rsidRPr="00210165">
        <w:t>environmental issues</w:t>
      </w:r>
    </w:p>
    <w:p w:rsidR="00000000" w:rsidRPr="00210165" w:rsidP="00210165">
      <w:pPr>
        <w:pStyle w:val="ListBullet3"/>
      </w:pPr>
      <w:r w:rsidRPr="00210165">
        <w:t>operating drill rig</w:t>
      </w:r>
    </w:p>
    <w:p w:rsidR="00000000" w:rsidRPr="00210165" w:rsidP="00210165">
      <w:pPr>
        <w:pStyle w:val="ListBullet3"/>
      </w:pPr>
      <w:r w:rsidRPr="00210165">
        <w:t>housekeeping</w:t>
      </w:r>
    </w:p>
    <w:p w:rsidR="00000000" w:rsidRPr="00210165" w:rsidP="00210165">
      <w:pPr>
        <w:pStyle w:val="ListBullet2"/>
      </w:pPr>
      <w:r w:rsidRPr="00210165">
        <w:t>identifying equipment spares and characteristics</w:t>
      </w:r>
    </w:p>
    <w:p w:rsidR="00000000" w:rsidRPr="00210165" w:rsidP="00210165">
      <w:pPr>
        <w:pStyle w:val="ListBullet2"/>
      </w:pPr>
      <w:r w:rsidRPr="00210165">
        <w:t>understanding equipment technic</w:t>
      </w:r>
      <w:r w:rsidRPr="00210165">
        <w:t>al capabilities, system limitations, gauge readings and their interpretation</w:t>
      </w:r>
    </w:p>
    <w:p w:rsidR="00000000" w:rsidRPr="00210165" w:rsidP="00210165">
      <w:pPr>
        <w:pStyle w:val="ListBullet2"/>
      </w:pPr>
      <w:r w:rsidRPr="00210165">
        <w:t>understanding soil sampling techniques, deployment methods and record keeping</w:t>
      </w:r>
    </w:p>
    <w:p w:rsidR="00000000" w:rsidRPr="00210165" w:rsidP="00210165">
      <w:pPr>
        <w:pStyle w:val="ListBullet2"/>
      </w:pPr>
      <w:r w:rsidRPr="00210165">
        <w:t>complying with operational maintenance procedures for rig and equipment including pre-start checks</w:t>
      </w:r>
    </w:p>
    <w:p w:rsidR="00000000" w:rsidRPr="00210165" w:rsidP="00210165">
      <w:pPr>
        <w:pStyle w:val="ListBullet2"/>
      </w:pPr>
      <w:r w:rsidRPr="00210165">
        <w:t>un</w:t>
      </w:r>
      <w:r w:rsidRPr="00210165">
        <w:t>derstanding the basic geological formations likely to be encountered and their properties</w:t>
      </w:r>
    </w:p>
    <w:p w:rsidR="00000000" w:rsidRPr="00210165" w:rsidP="00210165">
      <w:pPr>
        <w:pStyle w:val="ListBullet2"/>
      </w:pPr>
      <w:r w:rsidRPr="00210165">
        <w:t>using water, mud and foam injection for jet auger drilling and/or screw pipe drilling</w:t>
      </w:r>
    </w:p>
    <w:p w:rsidR="00000000" w:rsidRPr="00210165" w:rsidP="00210165">
      <w:pPr>
        <w:pStyle w:val="ListBullet2"/>
      </w:pPr>
      <w:r w:rsidRPr="00210165">
        <w:t>using of diagrams, plans and instructions for positioning, recording work or pro</w:t>
      </w:r>
      <w:r w:rsidRPr="00210165">
        <w:t>gress</w:t>
      </w:r>
    </w:p>
    <w:p w:rsidR="00000000" w:rsidRPr="00210165" w:rsidP="00210165">
      <w:pPr>
        <w:pStyle w:val="ListBullet2"/>
      </w:pPr>
      <w:r w:rsidRPr="00210165">
        <w:t>using of tape measures and devices for assessing depth drilled</w:t>
      </w:r>
    </w:p>
    <w:p w:rsidR="00000000" w:rsidRPr="00210165" w:rsidP="00210165">
      <w:pPr>
        <w:pStyle w:val="ListBullet2"/>
      </w:pPr>
      <w:r w:rsidRPr="00210165">
        <w:t>being prepared for fire/accident/emergency</w:t>
      </w:r>
    </w:p>
    <w:p w:rsidR="00000000" w:rsidRPr="00210165" w:rsidP="00210165">
      <w:pPr>
        <w:pStyle w:val="AllowPageBreak"/>
      </w:pPr>
    </w:p>
    <w:p w:rsidR="00000000" w:rsidRPr="00210165" w:rsidP="00210165">
      <w:pPr>
        <w:pStyle w:val="Heading1"/>
      </w:pPr>
      <w:bookmarkStart w:id="4" w:name="O_689444"/>
      <w:bookmarkEnd w:id="4"/>
      <w:r w:rsidRPr="00210165">
        <w:t>Assessment Conditions</w:t>
      </w:r>
    </w:p>
    <w:p w:rsidR="00000000" w:rsidRPr="00210165" w:rsidP="00210165">
      <w:pPr>
        <w:pStyle w:val="ListBullet"/>
      </w:pPr>
      <w:r w:rsidRPr="00210165">
        <w:t xml:space="preserve">An assessor of this unit must satisfy the requirements of the NVR/AQTF or their successors; </w:t>
      </w:r>
      <w:r w:rsidRPr="00210165">
        <w:t xml:space="preserve">and Industry regulations for certification and licensing; and, </w:t>
      </w:r>
    </w:p>
    <w:p w:rsidR="00000000" w:rsidRPr="00210165" w:rsidP="00210165">
      <w:pPr>
        <w:pStyle w:val="ListBullet"/>
      </w:pPr>
      <w:r w:rsidRPr="00210165">
        <w:t>this unit must be assessed in the context of this sector’s work environment; and,</w:t>
      </w:r>
    </w:p>
    <w:p w:rsidR="00000000" w:rsidRPr="00210165" w:rsidP="00210165">
      <w:pPr>
        <w:pStyle w:val="ListBullet"/>
      </w:pPr>
      <w:r w:rsidRPr="00210165">
        <w:t xml:space="preserve">this unit must be assessed in compliance with relevant legislation/regulation and using policies, procedures, </w:t>
      </w:r>
      <w:r w:rsidRPr="00210165">
        <w:t>processes and operational manuals directly related to the industry sector for which it is being assessed; and,</w:t>
      </w:r>
    </w:p>
    <w:p w:rsidR="00000000" w:rsidRPr="00210165" w:rsidP="00210165">
      <w:pPr>
        <w:pStyle w:val="ListBullet"/>
      </w:pPr>
      <w:r w:rsidRPr="00210165">
        <w:t>assessment may be conducted in conjunction with the assessment of other Units of Competency; and,</w:t>
      </w:r>
    </w:p>
    <w:p w:rsidR="00000000" w:rsidRPr="00210165" w:rsidP="00210165">
      <w:pPr>
        <w:pStyle w:val="ListBullet"/>
      </w:pPr>
      <w:r w:rsidRPr="00210165">
        <w:t xml:space="preserve">assessment must confirm consistent performance </w:t>
      </w:r>
      <w:r w:rsidRPr="00210165">
        <w:t>can be applied in a range of relevant workplace circumstances; and,</w:t>
      </w:r>
    </w:p>
    <w:p w:rsidR="00000000" w:rsidRPr="00210165" w:rsidP="00210165">
      <w:pPr>
        <w:pStyle w:val="ListBullet"/>
      </w:pPr>
      <w:r w:rsidRPr="00210165">
        <w:t>assessors must demonstrate the performance evidence, and knowledge evidence as outlined in this Unit of Competency, and through the minimum years of current* work experience specified belo</w:t>
      </w:r>
      <w:r w:rsidRPr="00210165">
        <w:t>w in an Industry sector relevant to the outcomes of the unit; or,</w:t>
      </w:r>
    </w:p>
    <w:p w:rsidR="00000000" w:rsidRPr="00210165" w:rsidP="00210165">
      <w:pPr>
        <w:pStyle w:val="ListBullet"/>
      </w:pPr>
      <w:r w:rsidRPr="00210165">
        <w:t>where the assessor does not meet experience requirements a co-assessment or partnership arrangement must exist between the qualified assessor and an Industry subject matter expert. The Indus</w:t>
      </w:r>
      <w:r w:rsidRPr="00210165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210165">
        <w:t>f current work experience specified below in the Industry sector, including time spent in roles related to the unit being assessed; and,</w:t>
      </w:r>
    </w:p>
    <w:p w:rsidR="00000000" w:rsidRPr="00210165" w:rsidP="00210165">
      <w:pPr>
        <w:pStyle w:val="ListBullet"/>
      </w:pPr>
      <w:r w:rsidRPr="00210165">
        <w:t>assessor and Industry subject matter expert requirements differ depending on the Australian Qualifications Framework Le</w:t>
      </w:r>
      <w:r w:rsidRPr="00210165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101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Heading4"/>
              <w:rPr>
                <w:lang w:val="en-NZ"/>
              </w:rPr>
            </w:pPr>
            <w:r w:rsidRPr="0021016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Heading4"/>
              <w:rPr>
                <w:lang w:val="en-NZ"/>
              </w:rPr>
            </w:pPr>
            <w:r w:rsidRPr="0021016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Heading4"/>
              <w:rPr>
                <w:lang w:val="en-NZ"/>
              </w:rPr>
            </w:pPr>
            <w:r w:rsidRPr="00210165">
              <w:t>Required assessor or Industry subject matter expert experience</w:t>
            </w:r>
          </w:p>
        </w:tc>
      </w:tr>
      <w:tr w:rsidTr="002101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1 Year</w:t>
            </w:r>
          </w:p>
        </w:tc>
      </w:tr>
      <w:tr w:rsidTr="002101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2 Years</w:t>
            </w:r>
          </w:p>
        </w:tc>
      </w:tr>
      <w:tr w:rsidTr="002101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3 Years</w:t>
            </w:r>
          </w:p>
        </w:tc>
      </w:tr>
      <w:tr w:rsidTr="002101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5 Years</w:t>
            </w:r>
          </w:p>
        </w:tc>
      </w:tr>
      <w:tr w:rsidTr="002101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165">
            <w:pPr>
              <w:pStyle w:val="BodyText"/>
              <w:rPr>
                <w:lang w:val="en-NZ"/>
              </w:rPr>
            </w:pPr>
            <w:r w:rsidRPr="0021016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0165" w:rsidP="00210165">
            <w:pPr>
              <w:pStyle w:val="BodyText"/>
            </w:pPr>
            <w:r w:rsidRPr="0021016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10165">
              <w:t>ndard is specified should comply with any relevant regulation.</w:t>
            </w:r>
          </w:p>
        </w:tc>
      </w:tr>
    </w:tbl>
    <w:p w:rsidR="00000000" w:rsidRPr="00210165" w:rsidP="00210165">
      <w:pPr>
        <w:pStyle w:val="BodyText"/>
      </w:pPr>
      <w:r w:rsidRPr="00210165">
        <w:t xml:space="preserve">*Assessors can demonstrate current work experience through employment within Industry in a role relevant to the outcomes of the Unit; or, for external </w:t>
      </w:r>
      <w:r w:rsidRPr="00210165">
        <w:t>assessors this can be demonstrated through exposure to Industry by conducting frequent site assessments across various locations.</w:t>
      </w:r>
    </w:p>
    <w:p w:rsidR="00000000" w:rsidRPr="00210165" w:rsidP="00210165">
      <w:pPr>
        <w:pStyle w:val="BodyText"/>
      </w:pPr>
      <w:r w:rsidRPr="00210165">
        <w:t>**Where a unit is being delivered outside of a Qualification the first numeric character in the Unit code should be considered</w:t>
      </w:r>
      <w:r w:rsidRPr="00210165">
        <w:t xml:space="preserve"> to indicate the AQF level</w:t>
      </w:r>
    </w:p>
    <w:p w:rsidR="00000000" w:rsidRPr="00210165" w:rsidP="00210165">
      <w:pPr>
        <w:pStyle w:val="AllowPageBreak"/>
      </w:pPr>
    </w:p>
    <w:p w:rsidR="00000000" w:rsidRPr="00210165" w:rsidP="00210165">
      <w:pPr>
        <w:pStyle w:val="Heading1"/>
      </w:pPr>
      <w:bookmarkStart w:id="5" w:name="O_689456"/>
      <w:bookmarkEnd w:id="5"/>
      <w:r w:rsidRPr="00210165">
        <w:t>Links</w:t>
      </w:r>
    </w:p>
    <w:p w:rsidR="00000000" w:rsidRPr="00210165" w:rsidP="00210165">
      <w:pPr>
        <w:pStyle w:val="BodyText"/>
      </w:pPr>
      <w:r w:rsidRPr="00210165">
        <w:t>SkillsDMC RII Companion Volumes - http://www.skillsdmc.com.au/</w:t>
      </w:r>
    </w:p>
    <w:p w:rsidR="00000000" w:rsidRPr="00210165" w:rsidP="00210165"/>
    <w:sectPr w:rsidSect="002101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5" w:rsidRPr="000B7FDA" w:rsidP="000B7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DA" w:rsidP="00210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FDA" w:rsidP="00210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B7FDA" w:rsidP="00210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5" w:rsidRPr="000B7FDA" w:rsidP="000B7FD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DA" w:rsidRPr="002D2AF8" w:rsidP="00210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RIINHB306D Conduct large diameter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0B7FDA" w:rsidP="00210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6C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745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A04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165"/>
  </w:style>
  <w:style w:type="character" w:customStyle="1" w:styleId="Heading1Char">
    <w:name w:val="Heading 1 Char"/>
    <w:basedOn w:val="DefaultParagraphFont"/>
    <w:link w:val="Heading1"/>
    <w:rsid w:val="00210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1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01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16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016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01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0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165"/>
    <w:rPr>
      <w:b/>
      <w:spacing w:val="0"/>
    </w:rPr>
  </w:style>
  <w:style w:type="paragraph" w:customStyle="1" w:styleId="SuperTitle">
    <w:name w:val="SuperTitle"/>
    <w:basedOn w:val="Title"/>
    <w:rsid w:val="00210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165"/>
    <w:rPr>
      <w:i/>
    </w:rPr>
  </w:style>
  <w:style w:type="paragraph" w:styleId="Caption">
    <w:name w:val="caption"/>
    <w:basedOn w:val="BodyText"/>
    <w:next w:val="Normal"/>
    <w:qFormat/>
    <w:rsid w:val="00210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165"/>
  </w:style>
  <w:style w:type="paragraph" w:styleId="TableofFigures">
    <w:name w:val="table of figures"/>
    <w:basedOn w:val="Normal"/>
    <w:next w:val="Normal"/>
    <w:semiHidden/>
    <w:rsid w:val="00210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165"/>
    <w:pPr>
      <w:numPr>
        <w:numId w:val="12"/>
      </w:numPr>
    </w:pPr>
  </w:style>
  <w:style w:type="character" w:customStyle="1" w:styleId="WingdingSymbols">
    <w:name w:val="Wingding Symbols"/>
    <w:rsid w:val="00210165"/>
    <w:rPr>
      <w:rFonts w:ascii="Wingdings" w:hAnsi="Wingdings"/>
    </w:rPr>
  </w:style>
  <w:style w:type="paragraph" w:customStyle="1" w:styleId="TableHeading">
    <w:name w:val="Table Heading"/>
    <w:basedOn w:val="HeadingBase"/>
    <w:rsid w:val="00210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165"/>
    <w:rPr>
      <w:color w:val="0033CC"/>
      <w:u w:val="none"/>
    </w:rPr>
  </w:style>
  <w:style w:type="paragraph" w:customStyle="1" w:styleId="BodyTextRight">
    <w:name w:val="Body Text Right"/>
    <w:basedOn w:val="BodyText"/>
    <w:rsid w:val="00210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1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165"/>
    <w:rPr>
      <w:sz w:val="32"/>
    </w:rPr>
  </w:style>
  <w:style w:type="paragraph" w:customStyle="1" w:styleId="HeadingProcedure">
    <w:name w:val="Heading Procedure"/>
    <w:basedOn w:val="HeadingBase"/>
    <w:next w:val="Normal"/>
    <w:rsid w:val="00210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165"/>
    <w:pPr>
      <w:spacing w:before="60" w:after="60"/>
    </w:pPr>
  </w:style>
  <w:style w:type="paragraph" w:styleId="ListContinue">
    <w:name w:val="List Continue"/>
    <w:basedOn w:val="List"/>
    <w:rsid w:val="00210165"/>
    <w:pPr>
      <w:ind w:firstLine="0"/>
    </w:pPr>
  </w:style>
  <w:style w:type="paragraph" w:customStyle="1" w:styleId="ListNote">
    <w:name w:val="List Note"/>
    <w:basedOn w:val="List"/>
    <w:rsid w:val="00210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165"/>
    <w:rPr>
      <w:rFonts w:ascii="Courier New" w:hAnsi="Courier New"/>
    </w:rPr>
  </w:style>
  <w:style w:type="paragraph" w:customStyle="1" w:styleId="NoteBullet">
    <w:name w:val="Note Bullet"/>
    <w:basedOn w:val="Note"/>
    <w:rsid w:val="00210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16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10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165"/>
    <w:rPr>
      <w:b/>
      <w:smallCaps/>
    </w:rPr>
  </w:style>
  <w:style w:type="paragraph" w:customStyle="1" w:styleId="TableListNumber">
    <w:name w:val="Table List Number"/>
    <w:basedOn w:val="ListNumber"/>
    <w:rsid w:val="00210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165"/>
    <w:pPr>
      <w:numPr>
        <w:numId w:val="10"/>
      </w:numPr>
    </w:pPr>
  </w:style>
  <w:style w:type="paragraph" w:customStyle="1" w:styleId="ListAlpha2">
    <w:name w:val="List Alpha 2"/>
    <w:basedOn w:val="List2"/>
    <w:rsid w:val="00210165"/>
    <w:pPr>
      <w:numPr>
        <w:numId w:val="9"/>
      </w:numPr>
    </w:pPr>
  </w:style>
  <w:style w:type="paragraph" w:styleId="List2">
    <w:name w:val="List 2"/>
    <w:basedOn w:val="BodyText"/>
    <w:rsid w:val="00210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1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01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0165"/>
    <w:pPr>
      <w:numPr>
        <w:numId w:val="5"/>
      </w:numPr>
    </w:pPr>
  </w:style>
  <w:style w:type="paragraph" w:styleId="ListContinue2">
    <w:name w:val="List Continue 2"/>
    <w:basedOn w:val="List2"/>
    <w:rsid w:val="00210165"/>
    <w:pPr>
      <w:ind w:firstLine="0"/>
    </w:pPr>
  </w:style>
  <w:style w:type="paragraph" w:styleId="ListContinue3">
    <w:name w:val="List Continue 3"/>
    <w:basedOn w:val="List3"/>
    <w:rsid w:val="00210165"/>
    <w:pPr>
      <w:ind w:left="1021" w:firstLine="0"/>
    </w:pPr>
  </w:style>
  <w:style w:type="paragraph" w:styleId="ListContinue4">
    <w:name w:val="List Continue 4"/>
    <w:basedOn w:val="List4"/>
    <w:rsid w:val="00210165"/>
    <w:pPr>
      <w:ind w:firstLine="0"/>
    </w:pPr>
  </w:style>
  <w:style w:type="paragraph" w:styleId="ListContinue5">
    <w:name w:val="List Continue 5"/>
    <w:basedOn w:val="List5"/>
    <w:rsid w:val="00210165"/>
    <w:pPr>
      <w:ind w:firstLine="0"/>
    </w:pPr>
  </w:style>
  <w:style w:type="paragraph" w:styleId="ListNumber3">
    <w:name w:val="List Number 3"/>
    <w:basedOn w:val="List3"/>
    <w:rsid w:val="00210165"/>
    <w:pPr>
      <w:numPr>
        <w:numId w:val="6"/>
      </w:numPr>
    </w:pPr>
  </w:style>
  <w:style w:type="paragraph" w:styleId="ListNumber4">
    <w:name w:val="List Number 4"/>
    <w:basedOn w:val="List4"/>
    <w:rsid w:val="00210165"/>
    <w:pPr>
      <w:numPr>
        <w:numId w:val="7"/>
      </w:numPr>
    </w:pPr>
  </w:style>
  <w:style w:type="paragraph" w:styleId="ListNumber5">
    <w:name w:val="List Number 5"/>
    <w:basedOn w:val="List5"/>
    <w:rsid w:val="00210165"/>
    <w:pPr>
      <w:numPr>
        <w:numId w:val="8"/>
      </w:numPr>
    </w:pPr>
  </w:style>
  <w:style w:type="paragraph" w:styleId="BlockText">
    <w:name w:val="Block Text"/>
    <w:basedOn w:val="Normal"/>
    <w:rsid w:val="00210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165"/>
    <w:rPr>
      <w:sz w:val="16"/>
      <w:vertAlign w:val="superscript"/>
    </w:rPr>
  </w:style>
  <w:style w:type="character" w:customStyle="1" w:styleId="Symbols">
    <w:name w:val="Symbols"/>
    <w:basedOn w:val="DefaultParagraphFont"/>
    <w:rsid w:val="00210165"/>
    <w:rPr>
      <w:rFonts w:ascii="Symbol" w:hAnsi="Symbol"/>
    </w:rPr>
  </w:style>
  <w:style w:type="character" w:customStyle="1" w:styleId="MenuOptions">
    <w:name w:val="Menu Options"/>
    <w:basedOn w:val="DefaultParagraphFont"/>
    <w:rsid w:val="00210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165"/>
    <w:rPr>
      <w:b/>
    </w:rPr>
  </w:style>
  <w:style w:type="character" w:customStyle="1" w:styleId="Underlined">
    <w:name w:val="Underlined"/>
    <w:basedOn w:val="DefaultParagraphFont"/>
    <w:rsid w:val="00210165"/>
    <w:rPr>
      <w:u w:val="single"/>
    </w:rPr>
  </w:style>
  <w:style w:type="paragraph" w:customStyle="1" w:styleId="TableBodyTextRight">
    <w:name w:val="Table Body Text Right"/>
    <w:basedOn w:val="TableBodyText"/>
    <w:rsid w:val="00210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165"/>
    <w:rPr>
      <w:sz w:val="18"/>
    </w:rPr>
  </w:style>
  <w:style w:type="paragraph" w:customStyle="1" w:styleId="BodySmallRight">
    <w:name w:val="Body Small Right"/>
    <w:basedOn w:val="BodyTextRight"/>
    <w:rsid w:val="00210165"/>
    <w:rPr>
      <w:sz w:val="18"/>
      <w:szCs w:val="18"/>
    </w:rPr>
  </w:style>
  <w:style w:type="paragraph" w:customStyle="1" w:styleId="MarginEdition">
    <w:name w:val="Margin Edition"/>
    <w:basedOn w:val="MarginNote"/>
    <w:rsid w:val="00210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165"/>
    <w:rPr>
      <w:sz w:val="2"/>
      <w:szCs w:val="2"/>
    </w:rPr>
  </w:style>
  <w:style w:type="character" w:customStyle="1" w:styleId="Small">
    <w:name w:val="Small"/>
    <w:basedOn w:val="DefaultParagraphFont"/>
    <w:rsid w:val="00210165"/>
    <w:rPr>
      <w:sz w:val="16"/>
    </w:rPr>
  </w:style>
  <w:style w:type="paragraph" w:customStyle="1" w:styleId="WideTable">
    <w:name w:val="Wide Table"/>
    <w:basedOn w:val="Normal"/>
    <w:rsid w:val="00210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165"/>
  </w:style>
  <w:style w:type="paragraph" w:styleId="Quote">
    <w:name w:val="Quote"/>
    <w:basedOn w:val="Heading1"/>
    <w:link w:val="QuoteChar"/>
    <w:qFormat/>
    <w:rsid w:val="00210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165"/>
    <w:pPr>
      <w:pageBreakBefore/>
    </w:pPr>
  </w:style>
  <w:style w:type="paragraph" w:customStyle="1" w:styleId="Border">
    <w:name w:val="Border"/>
    <w:basedOn w:val="Normal"/>
    <w:qFormat/>
    <w:rsid w:val="00210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165"/>
    <w:rPr>
      <w:u w:val="single"/>
    </w:rPr>
  </w:style>
  <w:style w:type="character" w:customStyle="1" w:styleId="BoldandItalics">
    <w:name w:val="Bold and Italics"/>
    <w:qFormat/>
    <w:rsid w:val="00210165"/>
    <w:rPr>
      <w:b/>
      <w:i/>
      <w:u w:val="none"/>
    </w:rPr>
  </w:style>
  <w:style w:type="paragraph" w:styleId="BalloonText">
    <w:name w:val="Balloon Text"/>
    <w:basedOn w:val="Normal"/>
    <w:link w:val="BalloonTextChar"/>
    <w:rsid w:val="00210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1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1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5377</Characters>
  <Application>Microsoft Office Word</Application>
  <DocSecurity>0</DocSecurity>
  <Lines>132</Lines>
  <Paragraphs>74</Paragraphs>
  <ScaleCrop>false</ScaleCrop>
  <Company>Author-it Software Corporation Ltd.</Company>
  <LinksUpToDate>false</LinksUpToDate>
  <CharactersWithSpaces>6210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RIINHB306D Conduct large diameter auger drilling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2014-12-07T03:20:00Z</dcterms:created>
  <dcterms:modified xsi:type="dcterms:W3CDTF">2014-12-07T03:20:00Z</dcterms:modified>
</cp:coreProperties>
</file>