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5C0F" w:rsidP="00A65C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RIINHB218E Assist grouting and cementing operations</w:t>
      </w:r>
      <w:r>
        <w:fldChar w:fldCharType="end"/>
      </w:r>
    </w:p>
    <w:p w:rsidR="00A65C0F" w:rsidP="00A65C0F">
      <w:pPr>
        <w:pStyle w:val="Version"/>
        <w:sectPr w:rsidSect="006669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69CE" w:rsidP="006669CE">
      <w:pPr>
        <w:pStyle w:val="SuperHeading"/>
      </w:pPr>
      <w:r w:rsidRPr="006669CE">
        <w:t>RIINHB218E Assist grouting and cementing operations</w:t>
      </w:r>
    </w:p>
    <w:p w:rsidR="00000000" w:rsidRPr="006669CE" w:rsidP="006669CE">
      <w:pPr>
        <w:pStyle w:val="Heading1"/>
      </w:pPr>
      <w:bookmarkStart w:id="1" w:name="O_1106839"/>
      <w:bookmarkEnd w:id="1"/>
      <w:r w:rsidRPr="006669C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6669C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CE" w:rsidP="006669CE">
            <w:pPr>
              <w:pStyle w:val="BodyText"/>
            </w:pPr>
            <w:r w:rsidRPr="006669CE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CE">
            <w:pPr>
              <w:pStyle w:val="BodyText"/>
              <w:rPr>
                <w:lang w:val="en-NZ"/>
              </w:rPr>
            </w:pPr>
            <w:r w:rsidRPr="006669CE">
              <w:rPr>
                <w:rStyle w:val="SpecialBold"/>
              </w:rPr>
              <w:t>Comments</w:t>
            </w:r>
          </w:p>
        </w:tc>
      </w:tr>
      <w:tr w:rsidTr="006669C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CE">
            <w:pPr>
              <w:pStyle w:val="BodyText"/>
              <w:rPr>
                <w:lang w:val="en-NZ"/>
              </w:rPr>
            </w:pPr>
            <w:r w:rsidRPr="006669CE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CE" w:rsidP="006669CE">
            <w:pPr>
              <w:pStyle w:val="BodyText"/>
            </w:pPr>
            <w:r w:rsidRPr="006669CE">
              <w:t>This version first released with RII Resources and Infrastructure Industry Training Package Version 5.0.</w:t>
            </w:r>
          </w:p>
        </w:tc>
      </w:tr>
    </w:tbl>
    <w:p w:rsidR="00000000" w:rsidRPr="006669CE" w:rsidP="006669CE">
      <w:pPr>
        <w:pStyle w:val="BodyText"/>
      </w:pPr>
    </w:p>
    <w:p w:rsidR="00000000" w:rsidRPr="006669CE" w:rsidP="006669CE">
      <w:pPr>
        <w:pStyle w:val="AllowPageBreak"/>
      </w:pPr>
    </w:p>
    <w:p w:rsidR="00000000" w:rsidRPr="006669CE" w:rsidP="006669CE">
      <w:pPr>
        <w:pStyle w:val="Heading1"/>
      </w:pPr>
      <w:bookmarkStart w:id="2" w:name="O_1106844"/>
      <w:bookmarkEnd w:id="2"/>
      <w:r w:rsidRPr="006669CE">
        <w:t>Application</w:t>
      </w:r>
    </w:p>
    <w:p w:rsidR="00000000" w:rsidRPr="006669CE" w:rsidP="00A65C0F">
      <w:pPr>
        <w:pStyle w:val="BodyText"/>
      </w:pPr>
      <w:r w:rsidRPr="006669CE">
        <w:t>This unit describes the skills and knowledge required to ass</w:t>
      </w:r>
      <w:r w:rsidRPr="006669CE">
        <w:t>ist grouting and cementing operations in drilling. It prepares individuals to operate ancillary equipment, perform basic measurements and calculations, grout and cement hole and clean equipment on completion of task.</w:t>
      </w:r>
    </w:p>
    <w:p w:rsidR="00000000" w:rsidRPr="006669CE" w:rsidP="00A65C0F">
      <w:pPr>
        <w:pStyle w:val="BodyText"/>
      </w:pPr>
      <w:r w:rsidRPr="006669CE">
        <w:t>It applies to those working in assistan</w:t>
      </w:r>
      <w:r w:rsidRPr="006669CE">
        <w:t>t driller roles. They generally work under supervision to undertake a prescribed range of functions involving known routines and procedures.</w:t>
      </w:r>
    </w:p>
    <w:p w:rsidR="00000000" w:rsidRPr="006669CE" w:rsidP="00A65C0F">
      <w:pPr>
        <w:pStyle w:val="BodyText"/>
      </w:pPr>
      <w:r w:rsidRPr="006669CE">
        <w:t>No licensing, legislative or certification requirements apply to this unit at the time of publication.</w:t>
      </w:r>
    </w:p>
    <w:p w:rsidR="00000000" w:rsidRPr="006669CE" w:rsidP="006669CE">
      <w:pPr>
        <w:pStyle w:val="Heading1"/>
      </w:pPr>
      <w:bookmarkStart w:id="3" w:name="O_1106843"/>
      <w:bookmarkEnd w:id="3"/>
      <w:r w:rsidRPr="006669CE">
        <w:t>Unit Sector</w:t>
      </w:r>
    </w:p>
    <w:p w:rsidR="00000000" w:rsidRPr="006669CE" w:rsidP="00A65C0F">
      <w:pPr>
        <w:pStyle w:val="BodyText"/>
      </w:pPr>
      <w:r w:rsidRPr="006669CE">
        <w:t>Drilling</w:t>
      </w:r>
    </w:p>
    <w:p w:rsidR="00000000" w:rsidRPr="006669CE" w:rsidP="006669CE">
      <w:pPr>
        <w:pStyle w:val="Heading1"/>
      </w:pPr>
      <w:bookmarkStart w:id="4" w:name="O_1106842"/>
      <w:bookmarkEnd w:id="4"/>
      <w:r w:rsidRPr="006669C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4"/>
        <w:gridCol w:w="6657"/>
      </w:tblGrid>
      <w:tr w:rsidTr="0066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CE" w:rsidP="006669CE">
            <w:pPr>
              <w:pStyle w:val="BodyText"/>
            </w:pPr>
            <w:r w:rsidRPr="006669CE">
              <w:rPr>
                <w:rStyle w:val="SpecialBold"/>
              </w:rPr>
              <w:t>ELEMENT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CE">
            <w:pPr>
              <w:pStyle w:val="BodyText"/>
              <w:rPr>
                <w:lang w:val="en-NZ"/>
              </w:rPr>
            </w:pPr>
            <w:r w:rsidRPr="006669CE">
              <w:rPr>
                <w:rStyle w:val="SpecialBold"/>
              </w:rPr>
              <w:t>PERFORMANCE CRITERIA</w:t>
            </w:r>
          </w:p>
        </w:tc>
      </w:tr>
      <w:tr w:rsidTr="0066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CE" w:rsidP="006669CE">
            <w:pPr>
              <w:pStyle w:val="BodyText"/>
            </w:pPr>
            <w:r w:rsidRPr="006669CE">
              <w:rPr>
                <w:rStyle w:val="Emphasis"/>
              </w:rPr>
              <w:t>Elements describe the essential outcomes.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CE">
            <w:pPr>
              <w:pStyle w:val="BodyText"/>
              <w:rPr>
                <w:lang w:val="en-NZ"/>
              </w:rPr>
            </w:pPr>
            <w:r w:rsidRPr="006669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CE">
            <w:pPr>
              <w:pStyle w:val="List"/>
              <w:rPr>
                <w:lang w:val="en-NZ"/>
              </w:rPr>
            </w:pPr>
            <w:r w:rsidRPr="006669CE">
              <w:t>1. Plan and prepare to assist grouting and cementing operations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CE" w:rsidP="006669CE">
            <w:pPr>
              <w:pStyle w:val="List"/>
            </w:pPr>
            <w:r w:rsidRPr="006669CE">
              <w:t xml:space="preserve">1.1 Obtain, read and confirm work requirements </w:t>
            </w:r>
          </w:p>
          <w:p w:rsidR="00000000" w:rsidRPr="006669CE" w:rsidP="006669CE">
            <w:pPr>
              <w:pStyle w:val="List"/>
            </w:pPr>
            <w:r w:rsidRPr="006669CE">
              <w:t xml:space="preserve">1.2 Access, interpret and apply assist grouting or cementing operations, documentation and ensure work activity is compliant </w:t>
            </w:r>
          </w:p>
          <w:p w:rsidR="00000000" w:rsidRPr="006669CE" w:rsidP="006669CE">
            <w:pPr>
              <w:pStyle w:val="List"/>
            </w:pPr>
            <w:r w:rsidRPr="006669CE">
              <w:t>1.3 Identify and m</w:t>
            </w:r>
            <w:r w:rsidRPr="006669CE">
              <w:t>inimise environmental issues and potential hazards, and assess and address risks within scope of own role and according to workplace procedures</w:t>
            </w:r>
          </w:p>
          <w:p w:rsidR="00000000" w:rsidRPr="006669CE" w:rsidP="006669CE">
            <w:pPr>
              <w:pStyle w:val="List"/>
            </w:pPr>
            <w:r w:rsidRPr="006669CE">
              <w:t>1.4 Select and wear personal protective equipment required for work activities</w:t>
            </w:r>
          </w:p>
          <w:p w:rsidR="00000000" w:rsidRPr="006669CE" w:rsidP="006669CE">
            <w:pPr>
              <w:pStyle w:val="List"/>
            </w:pPr>
            <w:r w:rsidRPr="006669CE">
              <w:t>1.5 Communicate with other person</w:t>
            </w:r>
            <w:r w:rsidRPr="006669CE">
              <w:t xml:space="preserve">nel on site as required and </w:t>
            </w:r>
            <w:r w:rsidRPr="006669CE">
              <w:t>confirm briefings and handover details are communicated and received</w:t>
            </w:r>
          </w:p>
          <w:p w:rsidR="00000000" w:rsidP="006669CE">
            <w:pPr>
              <w:pStyle w:val="List"/>
              <w:rPr>
                <w:lang w:val="en-NZ"/>
              </w:rPr>
            </w:pPr>
            <w:r w:rsidRPr="006669CE">
              <w:t>1.6 Obtain and interpret emergency procedures and identify steps in case of fire, accident and other emergencies</w:t>
            </w:r>
          </w:p>
        </w:tc>
      </w:tr>
      <w:tr w:rsidTr="0066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CE">
            <w:pPr>
              <w:pStyle w:val="List"/>
              <w:rPr>
                <w:lang w:val="en-NZ"/>
              </w:rPr>
            </w:pPr>
            <w:r w:rsidRPr="006669CE">
              <w:t>2. Operate ancillary equipment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CE" w:rsidP="006669CE">
            <w:pPr>
              <w:pStyle w:val="List"/>
            </w:pPr>
            <w:r w:rsidRPr="006669CE">
              <w:t>2.1 Start-up ancillary equipment according to manufacturer specifications</w:t>
            </w:r>
          </w:p>
          <w:p w:rsidR="00000000" w:rsidRPr="006669CE" w:rsidP="006669CE">
            <w:pPr>
              <w:pStyle w:val="List"/>
            </w:pPr>
            <w:r w:rsidRPr="006669CE">
              <w:t>2.2 Run ancillary equipment according to operational requirements</w:t>
            </w:r>
          </w:p>
          <w:p w:rsidR="00000000" w:rsidP="006669CE">
            <w:pPr>
              <w:pStyle w:val="List"/>
              <w:rPr>
                <w:lang w:val="en-NZ"/>
              </w:rPr>
            </w:pPr>
            <w:r w:rsidRPr="006669CE">
              <w:t>2.3 Shut down ancillary equipment according to manufacturer specifications</w:t>
            </w:r>
          </w:p>
        </w:tc>
      </w:tr>
      <w:tr w:rsidTr="0066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CE">
            <w:pPr>
              <w:pStyle w:val="List"/>
              <w:rPr>
                <w:lang w:val="en-NZ"/>
              </w:rPr>
            </w:pPr>
            <w:r w:rsidRPr="006669CE">
              <w:t>3. Perform basic measurement and calcula</w:t>
            </w:r>
            <w:r w:rsidRPr="006669CE">
              <w:t>tions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CE" w:rsidP="006669CE">
            <w:pPr>
              <w:pStyle w:val="List"/>
            </w:pPr>
            <w:r w:rsidRPr="006669CE">
              <w:t xml:space="preserve">3.1 Use and read tape measure </w:t>
            </w:r>
          </w:p>
          <w:p w:rsidR="00000000" w:rsidRPr="006669CE" w:rsidP="006669CE">
            <w:pPr>
              <w:pStyle w:val="List"/>
            </w:pPr>
            <w:r w:rsidRPr="006669CE">
              <w:t>3.2 Carry out simple calculations and measurements of tank capacities, casing and rod lengths</w:t>
            </w:r>
          </w:p>
          <w:p w:rsidR="00000000" w:rsidRPr="006669CE" w:rsidP="006669CE">
            <w:pPr>
              <w:pStyle w:val="List"/>
            </w:pPr>
            <w:r w:rsidRPr="006669CE">
              <w:t>3.3 Record or complete tally sheets for number of lengths of casing placed in the hole</w:t>
            </w:r>
          </w:p>
          <w:p w:rsidR="00000000" w:rsidP="006669CE">
            <w:pPr>
              <w:pStyle w:val="List"/>
              <w:rPr>
                <w:lang w:val="en-NZ"/>
              </w:rPr>
            </w:pPr>
            <w:r w:rsidRPr="006669CE">
              <w:t>3.4 Record results on reports as requi</w:t>
            </w:r>
            <w:r w:rsidRPr="006669CE">
              <w:t>red</w:t>
            </w:r>
          </w:p>
        </w:tc>
      </w:tr>
      <w:tr w:rsidTr="0066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CE">
            <w:pPr>
              <w:pStyle w:val="List"/>
              <w:rPr>
                <w:lang w:val="en-NZ"/>
              </w:rPr>
            </w:pPr>
            <w:r w:rsidRPr="006669CE">
              <w:t>4. Grout and cement hole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CE" w:rsidP="006669CE">
            <w:pPr>
              <w:pStyle w:val="List"/>
            </w:pPr>
            <w:r w:rsidRPr="006669CE">
              <w:t>4.1 Mix grout and additives according to task requirements</w:t>
            </w:r>
          </w:p>
          <w:p w:rsidR="00000000" w:rsidRPr="006669CE" w:rsidP="006669CE">
            <w:pPr>
              <w:pStyle w:val="List"/>
            </w:pPr>
            <w:r w:rsidRPr="006669CE">
              <w:t>4.2 Access, interpret and apply safety data sheets (SDS) requirements for all materials used</w:t>
            </w:r>
          </w:p>
          <w:p w:rsidR="00000000" w:rsidRPr="006669CE" w:rsidP="006669CE">
            <w:pPr>
              <w:pStyle w:val="List"/>
            </w:pPr>
            <w:r w:rsidRPr="006669CE">
              <w:t>4.3 Apply grout or cement according to task requirements and using require</w:t>
            </w:r>
            <w:r w:rsidRPr="006669CE">
              <w:t>d techniques</w:t>
            </w:r>
          </w:p>
          <w:p w:rsidR="00000000" w:rsidRPr="006669CE" w:rsidP="006669CE">
            <w:pPr>
              <w:pStyle w:val="List"/>
            </w:pPr>
            <w:r w:rsidRPr="006669CE">
              <w:t>4.4 Avoid spillage of grout, cement and additives</w:t>
            </w:r>
          </w:p>
          <w:p w:rsidR="00000000" w:rsidRPr="006669CE" w:rsidP="006669CE">
            <w:pPr>
              <w:pStyle w:val="List"/>
            </w:pPr>
            <w:r w:rsidRPr="006669CE">
              <w:t>4.5 Construct well head, hole identification and install hole security devices</w:t>
            </w:r>
          </w:p>
          <w:p w:rsidR="00000000" w:rsidRPr="006669CE" w:rsidP="006669CE">
            <w:pPr>
              <w:pStyle w:val="List"/>
            </w:pPr>
            <w:r w:rsidRPr="006669CE">
              <w:t>4.6 Dispose of excess grout and cement as required according to site waste management procedures</w:t>
            </w:r>
          </w:p>
          <w:p w:rsidR="00000000" w:rsidP="006669CE">
            <w:pPr>
              <w:pStyle w:val="List"/>
              <w:rPr>
                <w:lang w:val="en-NZ"/>
              </w:rPr>
            </w:pPr>
            <w:r w:rsidRPr="006669CE">
              <w:t>4.7 Monitor hazar</w:t>
            </w:r>
            <w:r w:rsidRPr="006669CE">
              <w:t>ds and risks, and confirm safety of self, other personnel, plant and equipment</w:t>
            </w:r>
          </w:p>
        </w:tc>
      </w:tr>
      <w:tr w:rsidTr="0066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CE">
            <w:pPr>
              <w:pStyle w:val="List"/>
              <w:rPr>
                <w:lang w:val="en-NZ"/>
              </w:rPr>
            </w:pPr>
            <w:r w:rsidRPr="006669CE">
              <w:t>5. Perform clean-up and completion tasks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CE" w:rsidP="006669CE">
            <w:pPr>
              <w:pStyle w:val="List"/>
            </w:pPr>
            <w:r w:rsidRPr="006669CE">
              <w:t>5.1 Operate cleaning equipment according to safety and job requirements</w:t>
            </w:r>
          </w:p>
          <w:p w:rsidR="00000000" w:rsidRPr="006669CE" w:rsidP="006669CE">
            <w:pPr>
              <w:pStyle w:val="List"/>
            </w:pPr>
            <w:r w:rsidRPr="006669CE">
              <w:t>5.2 Confirm that cleaning equipment is kept in good working condition</w:t>
            </w:r>
          </w:p>
          <w:p w:rsidR="00000000" w:rsidRPr="006669CE" w:rsidP="006669CE">
            <w:pPr>
              <w:pStyle w:val="List"/>
            </w:pPr>
            <w:r w:rsidRPr="006669CE">
              <w:t>5.3 Complete housekeeping activities to workplace requirements</w:t>
            </w:r>
          </w:p>
          <w:p w:rsidR="00000000" w:rsidRPr="006669CE" w:rsidP="006669CE">
            <w:pPr>
              <w:pStyle w:val="List"/>
            </w:pPr>
            <w:r w:rsidRPr="006669CE">
              <w:t>5.4 Process records according to workplace procedures</w:t>
            </w:r>
          </w:p>
        </w:tc>
      </w:tr>
    </w:tbl>
    <w:p w:rsidR="00000000" w:rsidRPr="006669CE" w:rsidP="006669CE">
      <w:pPr>
        <w:pStyle w:val="BodyText"/>
      </w:pPr>
    </w:p>
    <w:p w:rsidR="00000000" w:rsidRPr="006669CE" w:rsidP="006669CE">
      <w:pPr>
        <w:pStyle w:val="AllowPageBreak"/>
      </w:pPr>
    </w:p>
    <w:p w:rsidR="00000000" w:rsidRPr="006669CE" w:rsidP="006669CE">
      <w:pPr>
        <w:pStyle w:val="Heading1"/>
      </w:pPr>
      <w:bookmarkStart w:id="5" w:name="O_1106841"/>
      <w:bookmarkEnd w:id="5"/>
      <w:r w:rsidRPr="006669CE">
        <w:t>Foundation Skills</w:t>
      </w:r>
    </w:p>
    <w:p w:rsidR="00000000" w:rsidRPr="00A65C0F" w:rsidP="00A65C0F">
      <w:pPr>
        <w:pStyle w:val="BodyText"/>
        <w:rPr>
          <w:i/>
        </w:rPr>
      </w:pPr>
      <w:r w:rsidRPr="00A65C0F">
        <w:rPr>
          <w:rStyle w:val="Emphasis"/>
        </w:rPr>
        <w:t>This section describes those l</w:t>
      </w:r>
      <w:r w:rsidRPr="00A65C0F">
        <w:rPr>
          <w:rStyle w:val="Emphasis"/>
        </w:rPr>
        <w:t>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66"/>
      </w:tblGrid>
      <w:tr w:rsidTr="0066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CE" w:rsidP="006669CE">
            <w:pPr>
              <w:pStyle w:val="BodyText"/>
            </w:pPr>
            <w:r w:rsidRPr="006669CE">
              <w:rPr>
                <w:rStyle w:val="SpecialBold"/>
              </w:rPr>
              <w:t>SKILL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CE">
            <w:pPr>
              <w:pStyle w:val="BodyText"/>
              <w:rPr>
                <w:lang w:val="en-NZ"/>
              </w:rPr>
            </w:pPr>
            <w:r w:rsidRPr="006669CE">
              <w:rPr>
                <w:rStyle w:val="SpecialBold"/>
              </w:rPr>
              <w:t>DESCRIPTION</w:t>
            </w:r>
          </w:p>
        </w:tc>
      </w:tr>
      <w:tr w:rsidTr="0066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CE">
            <w:pPr>
              <w:pStyle w:val="BodyText"/>
              <w:rPr>
                <w:lang w:val="en-NZ"/>
              </w:rPr>
            </w:pPr>
            <w:r w:rsidRPr="006669CE">
              <w:t>Numeracy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CE">
            <w:pPr>
              <w:pStyle w:val="ListBullet"/>
              <w:rPr>
                <w:lang w:val="en-NZ"/>
              </w:rPr>
            </w:pPr>
            <w:r w:rsidRPr="006669CE">
              <w:t xml:space="preserve">Performs basic calculations and measurements relating to tank capacities, casing and rod lengths </w:t>
            </w:r>
          </w:p>
        </w:tc>
      </w:tr>
      <w:tr w:rsidTr="0066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CE">
            <w:pPr>
              <w:pStyle w:val="BodyText"/>
              <w:rPr>
                <w:lang w:val="en-NZ"/>
              </w:rPr>
            </w:pPr>
            <w:r w:rsidRPr="006669CE">
              <w:t>Oral Communication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CE" w:rsidP="006669CE">
            <w:pPr>
              <w:pStyle w:val="ListBullet"/>
            </w:pPr>
            <w:r w:rsidRPr="006669CE">
              <w:t>Listens to short, explicit instructions for work procedures and asks questions to clarify and confirm</w:t>
            </w:r>
          </w:p>
        </w:tc>
      </w:tr>
    </w:tbl>
    <w:p w:rsidR="00000000" w:rsidRPr="006669CE" w:rsidP="006669CE">
      <w:pPr>
        <w:pStyle w:val="BodyText"/>
      </w:pPr>
    </w:p>
    <w:p w:rsidR="00000000" w:rsidRPr="006669CE" w:rsidP="006669CE">
      <w:pPr>
        <w:pStyle w:val="AllowPageBreak"/>
      </w:pPr>
    </w:p>
    <w:p w:rsidR="00000000" w:rsidRPr="006669CE" w:rsidP="006669CE">
      <w:pPr>
        <w:pStyle w:val="Heading1"/>
      </w:pPr>
      <w:bookmarkStart w:id="6" w:name="O_1106840"/>
      <w:bookmarkEnd w:id="6"/>
      <w:r w:rsidRPr="006669CE">
        <w:t>Unit Mapping Information</w:t>
      </w:r>
    </w:p>
    <w:p w:rsidR="00000000" w:rsidRPr="006669CE" w:rsidP="00A65C0F">
      <w:pPr>
        <w:pStyle w:val="BodyText"/>
      </w:pPr>
      <w:r w:rsidRPr="006669CE">
        <w:t>Supersedes and is equivalent to RIINHB218D Assist grouting or cementing operations.</w:t>
      </w:r>
    </w:p>
    <w:p w:rsidR="00000000" w:rsidRPr="006669CE" w:rsidP="006669CE">
      <w:pPr>
        <w:pStyle w:val="Heading1"/>
      </w:pPr>
      <w:bookmarkStart w:id="7" w:name="O_1106833"/>
      <w:bookmarkEnd w:id="7"/>
      <w:r w:rsidRPr="006669CE">
        <w:t>Links</w:t>
      </w:r>
    </w:p>
    <w:p w:rsidR="00000000" w:rsidRPr="006669CE" w:rsidP="00A65C0F">
      <w:pPr>
        <w:pStyle w:val="BodyText"/>
      </w:pPr>
      <w:r w:rsidRPr="006669CE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403F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669CE" w:rsidP="006669CE"/>
    <w:sectPr w:rsidSect="006669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9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9CE" w:rsidRPr="00A65C0F" w:rsidP="00A65C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9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C0F" w:rsidP="006669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5C0F" w:rsidP="006669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5C0F" w:rsidP="006669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9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C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69CE" w:rsidRPr="00A65C0F" w:rsidP="00A65C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9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C0F" w:rsidRPr="002D2AF8" w:rsidP="006669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RIINHB218E Assist grouting and cementing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65C0F" w:rsidP="006669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DA58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2A75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9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69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69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69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69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69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69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69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69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69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69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69CE"/>
  </w:style>
  <w:style w:type="character" w:customStyle="1" w:styleId="Heading1Char">
    <w:name w:val="Heading 1 Char"/>
    <w:basedOn w:val="DefaultParagraphFont"/>
    <w:link w:val="Heading1"/>
    <w:rsid w:val="006669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69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69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69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69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69CE"/>
    <w:rPr>
      <w:b/>
      <w:spacing w:val="0"/>
    </w:rPr>
  </w:style>
  <w:style w:type="character" w:styleId="Emphasis">
    <w:name w:val="Emphasis"/>
    <w:basedOn w:val="DefaultParagraphFont"/>
    <w:qFormat/>
    <w:rsid w:val="006669CE"/>
    <w:rPr>
      <w:i/>
    </w:rPr>
  </w:style>
  <w:style w:type="paragraph" w:customStyle="1" w:styleId="SuperHeading">
    <w:name w:val="SuperHeading"/>
    <w:basedOn w:val="Normal"/>
    <w:rsid w:val="006669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69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69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69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69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69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69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69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69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69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69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69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69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69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69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69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69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69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69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69C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69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69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69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69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69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69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69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69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69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69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69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69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69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69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69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69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69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69CE"/>
  </w:style>
  <w:style w:type="paragraph" w:styleId="TableofFigures">
    <w:name w:val="table of figures"/>
    <w:basedOn w:val="Normal"/>
    <w:next w:val="Normal"/>
    <w:semiHidden/>
    <w:rsid w:val="006669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69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69CE"/>
    <w:rPr>
      <w:rFonts w:ascii="Wingdings" w:hAnsi="Wingdings"/>
    </w:rPr>
  </w:style>
  <w:style w:type="paragraph" w:customStyle="1" w:styleId="TableHeading">
    <w:name w:val="Table Heading"/>
    <w:basedOn w:val="HeadingBase"/>
    <w:rsid w:val="006669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69CE"/>
    <w:rPr>
      <w:color w:val="0033CC"/>
      <w:u w:val="none"/>
    </w:rPr>
  </w:style>
  <w:style w:type="paragraph" w:customStyle="1" w:styleId="BodyTextRight">
    <w:name w:val="Body Text Right"/>
    <w:basedOn w:val="BodyText"/>
    <w:rsid w:val="006669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69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69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69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69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69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69CE"/>
    <w:rPr>
      <w:sz w:val="32"/>
    </w:rPr>
  </w:style>
  <w:style w:type="paragraph" w:customStyle="1" w:styleId="HeadingProcedure">
    <w:name w:val="Heading Procedure"/>
    <w:basedOn w:val="HeadingBase"/>
    <w:next w:val="Normal"/>
    <w:rsid w:val="006669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69CE"/>
    <w:pPr>
      <w:spacing w:before="60" w:after="60"/>
    </w:pPr>
  </w:style>
  <w:style w:type="paragraph" w:styleId="ListContinue">
    <w:name w:val="List Continue"/>
    <w:basedOn w:val="List"/>
    <w:rsid w:val="006669CE"/>
    <w:pPr>
      <w:ind w:firstLine="0"/>
    </w:pPr>
  </w:style>
  <w:style w:type="paragraph" w:customStyle="1" w:styleId="ListNote">
    <w:name w:val="List Note"/>
    <w:basedOn w:val="List"/>
    <w:rsid w:val="006669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69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69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69CE"/>
    <w:rPr>
      <w:rFonts w:ascii="Courier New" w:hAnsi="Courier New"/>
    </w:rPr>
  </w:style>
  <w:style w:type="paragraph" w:customStyle="1" w:styleId="NoteBullet">
    <w:name w:val="Note Bullet"/>
    <w:basedOn w:val="Note"/>
    <w:rsid w:val="006669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69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69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69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69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69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69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69CE"/>
    <w:rPr>
      <w:b/>
      <w:smallCaps/>
    </w:rPr>
  </w:style>
  <w:style w:type="paragraph" w:customStyle="1" w:styleId="TableListNumber">
    <w:name w:val="Table List Number"/>
    <w:basedOn w:val="ListNumber"/>
    <w:rsid w:val="006669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69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69CE"/>
    <w:pPr>
      <w:numPr>
        <w:numId w:val="8"/>
      </w:numPr>
    </w:pPr>
  </w:style>
  <w:style w:type="paragraph" w:customStyle="1" w:styleId="ListAlpha2">
    <w:name w:val="List Alpha 2"/>
    <w:basedOn w:val="List2"/>
    <w:rsid w:val="006669CE"/>
    <w:pPr>
      <w:numPr>
        <w:numId w:val="7"/>
      </w:numPr>
    </w:pPr>
  </w:style>
  <w:style w:type="paragraph" w:styleId="List2">
    <w:name w:val="List 2"/>
    <w:basedOn w:val="BodyText"/>
    <w:rsid w:val="006669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69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69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69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69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69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69CE"/>
    <w:pPr>
      <w:numPr>
        <w:numId w:val="3"/>
      </w:numPr>
    </w:pPr>
  </w:style>
  <w:style w:type="paragraph" w:styleId="ListContinue2">
    <w:name w:val="List Continue 2"/>
    <w:basedOn w:val="List2"/>
    <w:rsid w:val="006669CE"/>
    <w:pPr>
      <w:ind w:firstLine="0"/>
    </w:pPr>
  </w:style>
  <w:style w:type="paragraph" w:styleId="ListContinue3">
    <w:name w:val="List Continue 3"/>
    <w:basedOn w:val="List3"/>
    <w:rsid w:val="006669CE"/>
    <w:pPr>
      <w:ind w:left="1021" w:firstLine="0"/>
    </w:pPr>
  </w:style>
  <w:style w:type="paragraph" w:styleId="ListContinue4">
    <w:name w:val="List Continue 4"/>
    <w:basedOn w:val="List4"/>
    <w:rsid w:val="006669CE"/>
    <w:pPr>
      <w:ind w:firstLine="0"/>
    </w:pPr>
  </w:style>
  <w:style w:type="paragraph" w:styleId="ListContinue5">
    <w:name w:val="List Continue 5"/>
    <w:basedOn w:val="List5"/>
    <w:rsid w:val="006669CE"/>
    <w:pPr>
      <w:ind w:firstLine="0"/>
    </w:pPr>
  </w:style>
  <w:style w:type="paragraph" w:styleId="ListNumber3">
    <w:name w:val="List Number 3"/>
    <w:basedOn w:val="List3"/>
    <w:rsid w:val="006669CE"/>
    <w:pPr>
      <w:numPr>
        <w:numId w:val="4"/>
      </w:numPr>
    </w:pPr>
  </w:style>
  <w:style w:type="paragraph" w:styleId="ListNumber4">
    <w:name w:val="List Number 4"/>
    <w:basedOn w:val="List4"/>
    <w:rsid w:val="006669CE"/>
    <w:pPr>
      <w:numPr>
        <w:numId w:val="5"/>
      </w:numPr>
    </w:pPr>
  </w:style>
  <w:style w:type="paragraph" w:styleId="ListNumber5">
    <w:name w:val="List Number 5"/>
    <w:basedOn w:val="List5"/>
    <w:rsid w:val="006669CE"/>
    <w:pPr>
      <w:numPr>
        <w:numId w:val="6"/>
      </w:numPr>
    </w:pPr>
  </w:style>
  <w:style w:type="paragraph" w:styleId="BlockText">
    <w:name w:val="Block Text"/>
    <w:basedOn w:val="Normal"/>
    <w:rsid w:val="006669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69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69CE"/>
    <w:rPr>
      <w:sz w:val="16"/>
      <w:vertAlign w:val="superscript"/>
    </w:rPr>
  </w:style>
  <w:style w:type="character" w:customStyle="1" w:styleId="Symbols">
    <w:name w:val="Symbols"/>
    <w:basedOn w:val="DefaultParagraphFont"/>
    <w:rsid w:val="006669CE"/>
    <w:rPr>
      <w:rFonts w:ascii="Symbol" w:hAnsi="Symbol"/>
    </w:rPr>
  </w:style>
  <w:style w:type="character" w:customStyle="1" w:styleId="MenuOptions">
    <w:name w:val="Menu Options"/>
    <w:basedOn w:val="DefaultParagraphFont"/>
    <w:rsid w:val="006669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69CE"/>
    <w:rPr>
      <w:b/>
    </w:rPr>
  </w:style>
  <w:style w:type="character" w:customStyle="1" w:styleId="Underlined">
    <w:name w:val="Underlined"/>
    <w:basedOn w:val="DefaultParagraphFont"/>
    <w:rsid w:val="006669CE"/>
    <w:rPr>
      <w:u w:val="single"/>
    </w:rPr>
  </w:style>
  <w:style w:type="paragraph" w:customStyle="1" w:styleId="TableBodyTextRight">
    <w:name w:val="Table Body Text Right"/>
    <w:basedOn w:val="TableBodyText"/>
    <w:rsid w:val="006669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69CE"/>
    <w:rPr>
      <w:sz w:val="18"/>
    </w:rPr>
  </w:style>
  <w:style w:type="paragraph" w:customStyle="1" w:styleId="BodySmallRight">
    <w:name w:val="Body Small Right"/>
    <w:basedOn w:val="BodyTextRight"/>
    <w:rsid w:val="006669CE"/>
    <w:rPr>
      <w:sz w:val="18"/>
      <w:szCs w:val="18"/>
    </w:rPr>
  </w:style>
  <w:style w:type="paragraph" w:customStyle="1" w:styleId="MarginEdition">
    <w:name w:val="Margin Edition"/>
    <w:basedOn w:val="MarginNote"/>
    <w:rsid w:val="006669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69CE"/>
    <w:rPr>
      <w:sz w:val="2"/>
      <w:szCs w:val="2"/>
    </w:rPr>
  </w:style>
  <w:style w:type="character" w:customStyle="1" w:styleId="Small">
    <w:name w:val="Small"/>
    <w:basedOn w:val="DefaultParagraphFont"/>
    <w:rsid w:val="006669CE"/>
    <w:rPr>
      <w:sz w:val="16"/>
    </w:rPr>
  </w:style>
  <w:style w:type="paragraph" w:customStyle="1" w:styleId="WideTable">
    <w:name w:val="Wide Table"/>
    <w:basedOn w:val="Normal"/>
    <w:rsid w:val="006669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69CE"/>
  </w:style>
  <w:style w:type="paragraph" w:styleId="Quote">
    <w:name w:val="Quote"/>
    <w:basedOn w:val="Heading1"/>
    <w:link w:val="QuoteChar"/>
    <w:qFormat/>
    <w:rsid w:val="006669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69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69CE"/>
    <w:pPr>
      <w:pageBreakBefore/>
    </w:pPr>
  </w:style>
  <w:style w:type="paragraph" w:customStyle="1" w:styleId="Border">
    <w:name w:val="Border"/>
    <w:basedOn w:val="Normal"/>
    <w:qFormat/>
    <w:rsid w:val="006669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69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9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9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69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69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69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69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69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69CE"/>
    <w:rPr>
      <w:u w:val="single"/>
    </w:rPr>
  </w:style>
  <w:style w:type="character" w:customStyle="1" w:styleId="BoldandItalics">
    <w:name w:val="Bold and Italics"/>
    <w:qFormat/>
    <w:rsid w:val="006669CE"/>
    <w:rPr>
      <w:b/>
      <w:i/>
      <w:u w:val="none"/>
    </w:rPr>
  </w:style>
  <w:style w:type="paragraph" w:styleId="BalloonText">
    <w:name w:val="Balloon Text"/>
    <w:basedOn w:val="Normal"/>
    <w:link w:val="BalloonTextChar"/>
    <w:rsid w:val="006669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69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69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69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69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69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69CE"/>
    <w:pPr>
      <w:spacing w:before="0" w:after="0"/>
    </w:pPr>
  </w:style>
  <w:style w:type="paragraph" w:customStyle="1" w:styleId="BodyTextBold">
    <w:name w:val="Body Text Bold"/>
    <w:basedOn w:val="BodyText"/>
    <w:qFormat/>
    <w:rsid w:val="006669CE"/>
    <w:rPr>
      <w:b/>
    </w:rPr>
  </w:style>
  <w:style w:type="character" w:styleId="Hyperlink">
    <w:name w:val="Hyperlink"/>
    <w:basedOn w:val="DefaultParagraphFont"/>
    <w:uiPriority w:val="99"/>
    <w:unhideWhenUsed/>
    <w:rsid w:val="00A65C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3525</Characters>
  <Application>Microsoft Office Word</Application>
  <DocSecurity>0</DocSecurity>
  <Lines>117</Lines>
  <Paragraphs>71</Paragraphs>
  <ScaleCrop>false</ScaleCrop>
  <Company>Author-it Software Corporation Ltd.</Company>
  <LinksUpToDate>false</LinksUpToDate>
  <CharactersWithSpaces>4018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RIINHB218E Assist grouting and cementing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2022-10-18T14:37:00Z</dcterms:created>
  <dcterms:modified xsi:type="dcterms:W3CDTF">2022-10-18T14:37:00Z</dcterms:modified>
</cp:coreProperties>
</file>