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629" w:rsidP="00E52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RIINHB218D Assist grouting or cementing operations</w:t>
      </w:r>
      <w:r>
        <w:fldChar w:fldCharType="end"/>
      </w:r>
    </w:p>
    <w:p w:rsidR="00E52629" w:rsidP="00E52629">
      <w:pPr>
        <w:pStyle w:val="Version"/>
        <w:sectPr w:rsidSect="00020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056C" w:rsidP="0002056C">
      <w:pPr>
        <w:pStyle w:val="SuperHeading"/>
      </w:pPr>
      <w:r w:rsidRPr="0002056C">
        <w:t>RIINHB218D Assist grouting or cementing operations</w:t>
      </w:r>
    </w:p>
    <w:p w:rsidR="00000000" w:rsidRPr="0002056C" w:rsidP="0002056C">
      <w:pPr>
        <w:pStyle w:val="Heading1"/>
      </w:pPr>
      <w:bookmarkStart w:id="1" w:name="O_689164"/>
      <w:bookmarkEnd w:id="1"/>
      <w:r w:rsidRPr="0002056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52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Heading4"/>
              <w:rPr>
                <w:lang w:val="en-NZ"/>
              </w:rPr>
            </w:pPr>
            <w:r w:rsidRPr="0002056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Heading4"/>
              <w:rPr>
                <w:lang w:val="en-NZ"/>
              </w:rPr>
            </w:pPr>
            <w:r w:rsidRPr="0002056C">
              <w:t>Comment</w:t>
            </w:r>
          </w:p>
        </w:tc>
      </w:tr>
      <w:tr w:rsidTr="00E52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This unit replaces RIINHB218A Assist grouting or cementing operations.</w:t>
            </w:r>
          </w:p>
        </w:tc>
      </w:tr>
      <w:tr w:rsidTr="00E52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Required frequency and volume of evidence amended in Performance evidence.</w:t>
            </w:r>
          </w:p>
          <w:p w:rsidR="00000000" w:rsidRPr="0002056C" w:rsidP="0002056C">
            <w:pPr>
              <w:pStyle w:val="BodyText"/>
            </w:pPr>
            <w:r w:rsidRPr="0002056C">
              <w:t>Substantial amendments made in Assessment Conditions field,</w:t>
            </w:r>
            <w:r w:rsidRPr="0002056C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2056C" w:rsidP="0002056C">
      <w:pPr>
        <w:pStyle w:val="BodyText"/>
      </w:pPr>
    </w:p>
    <w:p w:rsidR="00000000" w:rsidRPr="0002056C" w:rsidP="0002056C">
      <w:pPr>
        <w:pStyle w:val="AllowPageBreak"/>
      </w:pPr>
    </w:p>
    <w:p w:rsidR="00000000" w:rsidRPr="0002056C" w:rsidP="0002056C">
      <w:pPr>
        <w:pStyle w:val="Heading1"/>
      </w:pPr>
      <w:bookmarkStart w:id="2" w:name="O_689163"/>
      <w:bookmarkEnd w:id="2"/>
      <w:r w:rsidRPr="0002056C">
        <w:t>Application</w:t>
      </w:r>
    </w:p>
    <w:p w:rsidR="00000000" w:rsidRPr="0002056C" w:rsidP="00E52629">
      <w:pPr>
        <w:pStyle w:val="BodyText"/>
      </w:pPr>
      <w:r w:rsidRPr="0002056C">
        <w:t>This unit describes a participant’s skills and knowledge r</w:t>
      </w:r>
      <w:r w:rsidRPr="0002056C">
        <w:t>equired to assist grouting or cementing operations in Drilling.</w:t>
      </w:r>
    </w:p>
    <w:p w:rsidR="00000000" w:rsidRPr="0002056C" w:rsidP="00E52629">
      <w:pPr>
        <w:pStyle w:val="BodyText"/>
      </w:pPr>
      <w:r w:rsidRPr="0002056C">
        <w:t>This unit is appropriate for those working in drillers assistant roles.</w:t>
      </w:r>
    </w:p>
    <w:p w:rsidR="00E52629" w:rsidP="00E52629">
      <w:pPr>
        <w:pStyle w:val="BodyText"/>
      </w:pPr>
      <w:r w:rsidRPr="0002056C">
        <w:t>No licensing, legislative or certification requirements apply to this unit at the time of publication.</w:t>
      </w:r>
    </w:p>
    <w:p w:rsidR="00000000" w:rsidRPr="0002056C" w:rsidP="0002056C">
      <w:pPr>
        <w:pStyle w:val="Heading1"/>
      </w:pPr>
      <w:bookmarkStart w:id="3" w:name="O_689162"/>
      <w:bookmarkEnd w:id="3"/>
      <w:r w:rsidRPr="0002056C">
        <w:t>Unit Sector</w:t>
      </w:r>
    </w:p>
    <w:p w:rsidR="00000000" w:rsidRPr="0002056C" w:rsidP="00E52629">
      <w:pPr>
        <w:pStyle w:val="BodyText"/>
      </w:pPr>
      <w:r w:rsidRPr="0002056C">
        <w:t>Drilling</w:t>
      </w:r>
    </w:p>
    <w:p w:rsidR="00000000" w:rsidRPr="0002056C" w:rsidP="0002056C">
      <w:pPr>
        <w:pStyle w:val="Heading1"/>
      </w:pPr>
      <w:bookmarkStart w:id="4" w:name="O_689161"/>
      <w:bookmarkEnd w:id="4"/>
      <w:r w:rsidRPr="0002056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205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1.  Plan and prepare for assisting the grouting or cementing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1.1</w:t>
            </w:r>
            <w:r w:rsidRPr="0002056C">
              <w:tab/>
            </w:r>
            <w:r w:rsidRPr="0002056C">
              <w:t xml:space="preserve">Access, interpret and apply assist grouting or cementing operations, documentation and ensure work activity is compliant </w:t>
            </w:r>
          </w:p>
          <w:p w:rsidR="00000000" w:rsidRPr="0002056C" w:rsidP="0002056C">
            <w:pPr>
              <w:pStyle w:val="BodyText"/>
            </w:pPr>
            <w:r w:rsidRPr="0002056C">
              <w:t>1.2</w:t>
            </w:r>
            <w:r w:rsidRPr="0002056C">
              <w:tab/>
              <w:t xml:space="preserve">Obtain, read, interpret, clarify and confirm work requirements </w:t>
            </w:r>
          </w:p>
          <w:p w:rsidR="00000000" w:rsidRPr="0002056C" w:rsidP="0002056C">
            <w:pPr>
              <w:pStyle w:val="BodyText"/>
            </w:pPr>
            <w:r w:rsidRPr="0002056C">
              <w:t>1.3</w:t>
            </w:r>
            <w:r w:rsidRPr="0002056C">
              <w:tab/>
              <w:t>Identify and address potential risks, hazards and environmenta</w:t>
            </w:r>
            <w:r w:rsidRPr="0002056C">
              <w:t xml:space="preserve">l issues and implement control measures </w:t>
            </w:r>
          </w:p>
          <w:p w:rsidR="00000000" w:rsidRPr="0002056C" w:rsidP="0002056C">
            <w:pPr>
              <w:pStyle w:val="BodyText"/>
            </w:pPr>
            <w:r w:rsidRPr="0002056C">
              <w:t>1.4</w:t>
            </w:r>
            <w:r w:rsidRPr="0002056C">
              <w:tab/>
              <w:t>Select and wear personal protective equipment appropriate for work activities</w:t>
            </w:r>
          </w:p>
          <w:p w:rsidR="00000000" w:rsidRPr="0002056C" w:rsidP="0002056C">
            <w:pPr>
              <w:pStyle w:val="BodyText"/>
            </w:pPr>
            <w:r w:rsidRPr="0002056C">
              <w:t>1.5</w:t>
            </w:r>
            <w:r w:rsidRPr="0002056C">
              <w:tab/>
              <w:t>Communicate and coordinate activities with others throughout the work activity</w:t>
            </w:r>
          </w:p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1.6</w:t>
            </w:r>
            <w:r w:rsidRPr="0002056C">
              <w:tab/>
              <w:t>Obtain and interpret emergency procedures, and</w:t>
            </w:r>
            <w:r w:rsidRPr="0002056C">
              <w:t xml:space="preserve"> be prepared for fire/accident/emergency</w:t>
            </w:r>
          </w:p>
        </w:tc>
      </w:tr>
      <w:tr w:rsidTr="000205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2.  Operate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2.1</w:t>
            </w:r>
            <w:r w:rsidRPr="0002056C">
              <w:tab/>
              <w:t>Start-up ancillary equipment as per manufacturers instruction</w:t>
            </w:r>
          </w:p>
          <w:p w:rsidR="00000000" w:rsidRPr="0002056C" w:rsidP="0002056C">
            <w:pPr>
              <w:pStyle w:val="BodyText"/>
            </w:pPr>
            <w:r w:rsidRPr="0002056C">
              <w:t>2.2</w:t>
            </w:r>
            <w:r w:rsidRPr="0002056C">
              <w:tab/>
              <w:t>Appropriately run ancillary equipment</w:t>
            </w:r>
          </w:p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2.3</w:t>
            </w:r>
            <w:r w:rsidRPr="0002056C">
              <w:tab/>
              <w:t>Shut down ancillary equipment as per manufacturers instruction</w:t>
            </w:r>
          </w:p>
        </w:tc>
      </w:tr>
      <w:tr w:rsidTr="000205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3.  Pe</w:t>
            </w:r>
            <w:r w:rsidRPr="0002056C">
              <w:t>rform basic measurement and calculations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3.1</w:t>
            </w:r>
            <w:r w:rsidRPr="0002056C">
              <w:tab/>
              <w:t>Use and read tape measure accurately</w:t>
            </w:r>
          </w:p>
          <w:p w:rsidR="00000000" w:rsidRPr="0002056C" w:rsidP="0002056C">
            <w:pPr>
              <w:pStyle w:val="BodyText"/>
            </w:pPr>
            <w:r w:rsidRPr="0002056C">
              <w:t>3.2</w:t>
            </w:r>
            <w:r w:rsidRPr="0002056C">
              <w:tab/>
              <w:t>Carry out simple calculations and measurements of tank capacities, casing and rod lengths</w:t>
            </w:r>
          </w:p>
          <w:p w:rsidR="00000000" w:rsidRPr="0002056C" w:rsidP="0002056C">
            <w:pPr>
              <w:pStyle w:val="BodyText"/>
            </w:pPr>
            <w:r w:rsidRPr="0002056C">
              <w:t>3.3</w:t>
            </w:r>
            <w:r w:rsidRPr="0002056C">
              <w:tab/>
              <w:t>Record or complete tally sheets for number of lengths of casing placed in th</w:t>
            </w:r>
            <w:r w:rsidRPr="0002056C">
              <w:t>e hole</w:t>
            </w:r>
          </w:p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3.4</w:t>
            </w:r>
            <w:r w:rsidRPr="0002056C">
              <w:tab/>
              <w:t>Record results legibly on all reports</w:t>
            </w:r>
          </w:p>
        </w:tc>
      </w:tr>
      <w:tr w:rsidTr="000205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4.  Grout and cement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4.1</w:t>
            </w:r>
            <w:r w:rsidRPr="0002056C">
              <w:tab/>
              <w:t>Mix grout and additives</w:t>
            </w:r>
          </w:p>
          <w:p w:rsidR="00000000" w:rsidRPr="0002056C" w:rsidP="0002056C">
            <w:pPr>
              <w:pStyle w:val="BodyText"/>
            </w:pPr>
            <w:r w:rsidRPr="0002056C">
              <w:t>4.2</w:t>
            </w:r>
            <w:r w:rsidRPr="0002056C">
              <w:tab/>
              <w:t>Access, interpret and apply safety data sheets (SDS) requirements for all materials used</w:t>
            </w:r>
          </w:p>
          <w:p w:rsidR="00000000" w:rsidRPr="0002056C" w:rsidP="0002056C">
            <w:pPr>
              <w:pStyle w:val="BodyText"/>
            </w:pPr>
            <w:r w:rsidRPr="0002056C">
              <w:t>4.3</w:t>
            </w:r>
            <w:r w:rsidRPr="0002056C">
              <w:tab/>
            </w:r>
            <w:r w:rsidRPr="0002056C">
              <w:t>Apply grout/cement using appropriate techniques, and complete grouting/cementing</w:t>
            </w:r>
          </w:p>
          <w:p w:rsidR="00000000" w:rsidRPr="0002056C" w:rsidP="0002056C">
            <w:pPr>
              <w:pStyle w:val="BodyText"/>
            </w:pPr>
            <w:r w:rsidRPr="0002056C">
              <w:t>4.4</w:t>
            </w:r>
            <w:r w:rsidRPr="0002056C">
              <w:tab/>
              <w:t>Avoid spillage of grout, cement or additives</w:t>
            </w:r>
          </w:p>
          <w:p w:rsidR="00000000" w:rsidRPr="0002056C" w:rsidP="0002056C">
            <w:pPr>
              <w:pStyle w:val="BodyText"/>
            </w:pPr>
            <w:r w:rsidRPr="0002056C">
              <w:t>4.5</w:t>
            </w:r>
            <w:r w:rsidRPr="0002056C">
              <w:tab/>
              <w:t>Construct well head, hole identification and install hole security devices</w:t>
            </w:r>
          </w:p>
          <w:p w:rsidR="00000000" w:rsidRPr="0002056C" w:rsidP="0002056C">
            <w:pPr>
              <w:pStyle w:val="BodyText"/>
            </w:pPr>
            <w:r w:rsidRPr="0002056C">
              <w:t>4.6</w:t>
            </w:r>
            <w:r w:rsidRPr="0002056C">
              <w:tab/>
              <w:t>Dispose of any excess grout or cement accor</w:t>
            </w:r>
            <w:r w:rsidRPr="0002056C">
              <w:t>ding to site waste management procedures</w:t>
            </w:r>
          </w:p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4.7</w:t>
            </w:r>
            <w:r w:rsidRPr="0002056C">
              <w:tab/>
              <w:t>Continually monitor hazards and risks, and ensure safety of self, other personnel, plant and equipment</w:t>
            </w:r>
          </w:p>
        </w:tc>
      </w:tr>
      <w:tr w:rsidTr="0002056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56C">
            <w:pPr>
              <w:pStyle w:val="BodyText"/>
              <w:rPr>
                <w:lang w:val="en-NZ"/>
              </w:rPr>
            </w:pPr>
            <w:r w:rsidRPr="0002056C">
              <w:t>5.  Clean all equipment at completion of grouting or cementing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56C" w:rsidP="0002056C">
            <w:pPr>
              <w:pStyle w:val="BodyText"/>
            </w:pPr>
            <w:r w:rsidRPr="0002056C">
              <w:t>5.1</w:t>
            </w:r>
            <w:r w:rsidRPr="0002056C">
              <w:tab/>
              <w:t>Operate cleaning equipment</w:t>
            </w:r>
          </w:p>
          <w:p w:rsidR="00000000" w:rsidRPr="0002056C" w:rsidP="0002056C">
            <w:pPr>
              <w:pStyle w:val="BodyText"/>
            </w:pPr>
            <w:r w:rsidRPr="0002056C">
              <w:t>5.2</w:t>
            </w:r>
            <w:r w:rsidRPr="0002056C">
              <w:tab/>
              <w:t>Ensure th</w:t>
            </w:r>
            <w:r w:rsidRPr="0002056C">
              <w:t>at all cleaning equipment is kept in good working condition</w:t>
            </w:r>
          </w:p>
          <w:p w:rsidR="00000000" w:rsidRPr="0002056C" w:rsidP="0002056C">
            <w:pPr>
              <w:pStyle w:val="BodyText"/>
            </w:pPr>
            <w:r w:rsidRPr="0002056C">
              <w:t>5.3</w:t>
            </w:r>
            <w:r w:rsidRPr="0002056C">
              <w:tab/>
              <w:t>Complete housekeeping activities</w:t>
            </w:r>
          </w:p>
          <w:p w:rsidR="00000000" w:rsidRPr="0002056C" w:rsidP="0002056C">
            <w:pPr>
              <w:pStyle w:val="BodyText"/>
            </w:pPr>
            <w:r w:rsidRPr="0002056C">
              <w:t>5.4</w:t>
            </w:r>
            <w:r w:rsidRPr="0002056C">
              <w:tab/>
              <w:t>Process records</w:t>
            </w:r>
          </w:p>
        </w:tc>
      </w:tr>
    </w:tbl>
    <w:p w:rsidR="00000000" w:rsidRPr="0002056C" w:rsidP="0002056C">
      <w:pPr>
        <w:pStyle w:val="BodyText"/>
      </w:pPr>
    </w:p>
    <w:p w:rsidR="00000000" w:rsidRPr="0002056C" w:rsidP="0002056C">
      <w:pPr>
        <w:pStyle w:val="AllowPageBreak"/>
      </w:pPr>
    </w:p>
    <w:p w:rsidR="00000000" w:rsidRPr="0002056C" w:rsidP="0002056C">
      <w:pPr>
        <w:pStyle w:val="Heading1"/>
      </w:pPr>
      <w:bookmarkStart w:id="5" w:name="O_689159"/>
      <w:bookmarkEnd w:id="5"/>
      <w:r w:rsidRPr="0002056C">
        <w:t>Foundation Skills</w:t>
      </w:r>
    </w:p>
    <w:p w:rsidR="00E52629" w:rsidP="00E52629">
      <w:pPr>
        <w:pStyle w:val="BodyText"/>
      </w:pPr>
      <w:r w:rsidRPr="0002056C">
        <w:t>Foundation skills essential to performance are explicit in the performance criteria of this unit. Furt</w:t>
      </w:r>
      <w:r w:rsidRPr="0002056C">
        <w:t>her information is available in the Resources and Infrastructure Industry Training Package Companion Volume.</w:t>
      </w:r>
    </w:p>
    <w:p w:rsidR="00000000" w:rsidRPr="0002056C" w:rsidP="0002056C">
      <w:pPr>
        <w:pStyle w:val="Heading1"/>
      </w:pPr>
      <w:bookmarkStart w:id="6" w:name="O_689157"/>
      <w:bookmarkEnd w:id="6"/>
      <w:r w:rsidRPr="0002056C">
        <w:t>Unit Mapping Information</w:t>
      </w:r>
    </w:p>
    <w:p w:rsidR="00E52629" w:rsidP="00E52629">
      <w:pPr>
        <w:pStyle w:val="BodyText"/>
      </w:pPr>
      <w:r w:rsidRPr="0002056C">
        <w:t xml:space="preserve">RIINHB218A Assist grouting or cementing operations </w:t>
      </w:r>
    </w:p>
    <w:p w:rsidR="00000000" w:rsidRPr="0002056C" w:rsidP="0002056C">
      <w:pPr>
        <w:pStyle w:val="Heading1"/>
      </w:pPr>
      <w:bookmarkStart w:id="7" w:name="O_689166"/>
      <w:bookmarkEnd w:id="7"/>
      <w:r w:rsidRPr="0002056C">
        <w:t>Links</w:t>
      </w:r>
    </w:p>
    <w:p w:rsidR="00000000" w:rsidRPr="0002056C" w:rsidP="00E52629">
      <w:pPr>
        <w:pStyle w:val="BodyText"/>
      </w:pPr>
      <w:r w:rsidRPr="00020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0675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2056C" w:rsidP="0002056C"/>
    <w:sectPr w:rsidSect="00020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6C" w:rsidRPr="00E52629" w:rsidP="00E52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29" w:rsidP="00020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629" w:rsidP="00020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2629" w:rsidP="00020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56C" w:rsidRPr="00E52629" w:rsidP="00E52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29" w:rsidRPr="002D2AF8" w:rsidP="00020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RIINHB218D Assist grouting or cementing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52629" w:rsidP="00020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56C"/>
  </w:style>
  <w:style w:type="character" w:customStyle="1" w:styleId="Heading1Char">
    <w:name w:val="Heading 1 Char"/>
    <w:basedOn w:val="DefaultParagraphFont"/>
    <w:link w:val="Heading1"/>
    <w:rsid w:val="00020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56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0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5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20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5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5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0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56C"/>
    <w:rPr>
      <w:b/>
      <w:spacing w:val="0"/>
    </w:rPr>
  </w:style>
  <w:style w:type="paragraph" w:customStyle="1" w:styleId="SuperTitle">
    <w:name w:val="SuperTitle"/>
    <w:basedOn w:val="Title"/>
    <w:rsid w:val="00020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5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5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56C"/>
    <w:rPr>
      <w:i/>
    </w:rPr>
  </w:style>
  <w:style w:type="paragraph" w:styleId="Caption">
    <w:name w:val="caption"/>
    <w:basedOn w:val="BodyText"/>
    <w:next w:val="Normal"/>
    <w:qFormat/>
    <w:rsid w:val="00020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56C"/>
  </w:style>
  <w:style w:type="paragraph" w:styleId="TableofFigures">
    <w:name w:val="table of figures"/>
    <w:basedOn w:val="Normal"/>
    <w:next w:val="Normal"/>
    <w:semiHidden/>
    <w:rsid w:val="00020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5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056C"/>
    <w:rPr>
      <w:rFonts w:ascii="Wingdings" w:hAnsi="Wingdings"/>
    </w:rPr>
  </w:style>
  <w:style w:type="paragraph" w:customStyle="1" w:styleId="TableHeading">
    <w:name w:val="Table Heading"/>
    <w:basedOn w:val="HeadingBase"/>
    <w:rsid w:val="00020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56C"/>
    <w:rPr>
      <w:color w:val="0033CC"/>
      <w:u w:val="none"/>
    </w:rPr>
  </w:style>
  <w:style w:type="paragraph" w:customStyle="1" w:styleId="BodyTextRight">
    <w:name w:val="Body Text Right"/>
    <w:basedOn w:val="BodyText"/>
    <w:rsid w:val="00020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5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56C"/>
    <w:rPr>
      <w:sz w:val="32"/>
    </w:rPr>
  </w:style>
  <w:style w:type="paragraph" w:customStyle="1" w:styleId="HeadingProcedure">
    <w:name w:val="Heading Procedure"/>
    <w:basedOn w:val="HeadingBase"/>
    <w:next w:val="Normal"/>
    <w:rsid w:val="00020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56C"/>
    <w:pPr>
      <w:spacing w:before="60" w:after="60"/>
    </w:pPr>
  </w:style>
  <w:style w:type="paragraph" w:styleId="ListContinue">
    <w:name w:val="List Continue"/>
    <w:basedOn w:val="List"/>
    <w:rsid w:val="0002056C"/>
    <w:pPr>
      <w:ind w:firstLine="0"/>
    </w:pPr>
  </w:style>
  <w:style w:type="paragraph" w:customStyle="1" w:styleId="ListNote">
    <w:name w:val="List Note"/>
    <w:basedOn w:val="List"/>
    <w:rsid w:val="00020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56C"/>
    <w:rPr>
      <w:rFonts w:ascii="Courier New" w:hAnsi="Courier New"/>
    </w:rPr>
  </w:style>
  <w:style w:type="paragraph" w:customStyle="1" w:styleId="NoteBullet">
    <w:name w:val="Note Bullet"/>
    <w:basedOn w:val="Note"/>
    <w:rsid w:val="00020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5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0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56C"/>
    <w:rPr>
      <w:b/>
      <w:smallCaps/>
    </w:rPr>
  </w:style>
  <w:style w:type="paragraph" w:customStyle="1" w:styleId="TableListNumber">
    <w:name w:val="Table List Number"/>
    <w:basedOn w:val="ListNumber"/>
    <w:rsid w:val="00020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56C"/>
    <w:pPr>
      <w:numPr>
        <w:numId w:val="7"/>
      </w:numPr>
    </w:pPr>
  </w:style>
  <w:style w:type="paragraph" w:customStyle="1" w:styleId="ListAlpha2">
    <w:name w:val="List Alpha 2"/>
    <w:basedOn w:val="List2"/>
    <w:rsid w:val="0002056C"/>
    <w:pPr>
      <w:numPr>
        <w:numId w:val="6"/>
      </w:numPr>
    </w:pPr>
  </w:style>
  <w:style w:type="paragraph" w:styleId="List2">
    <w:name w:val="List 2"/>
    <w:basedOn w:val="BodyText"/>
    <w:rsid w:val="00020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5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5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056C"/>
    <w:pPr>
      <w:numPr>
        <w:numId w:val="2"/>
      </w:numPr>
    </w:pPr>
  </w:style>
  <w:style w:type="paragraph" w:styleId="ListContinue2">
    <w:name w:val="List Continue 2"/>
    <w:basedOn w:val="List2"/>
    <w:rsid w:val="0002056C"/>
    <w:pPr>
      <w:ind w:firstLine="0"/>
    </w:pPr>
  </w:style>
  <w:style w:type="paragraph" w:styleId="ListContinue3">
    <w:name w:val="List Continue 3"/>
    <w:basedOn w:val="List3"/>
    <w:rsid w:val="0002056C"/>
    <w:pPr>
      <w:ind w:left="1021" w:firstLine="0"/>
    </w:pPr>
  </w:style>
  <w:style w:type="paragraph" w:styleId="ListContinue4">
    <w:name w:val="List Continue 4"/>
    <w:basedOn w:val="List4"/>
    <w:rsid w:val="0002056C"/>
    <w:pPr>
      <w:ind w:firstLine="0"/>
    </w:pPr>
  </w:style>
  <w:style w:type="paragraph" w:styleId="ListContinue5">
    <w:name w:val="List Continue 5"/>
    <w:basedOn w:val="List5"/>
    <w:rsid w:val="0002056C"/>
    <w:pPr>
      <w:ind w:firstLine="0"/>
    </w:pPr>
  </w:style>
  <w:style w:type="paragraph" w:styleId="ListNumber3">
    <w:name w:val="List Number 3"/>
    <w:basedOn w:val="List3"/>
    <w:rsid w:val="0002056C"/>
    <w:pPr>
      <w:numPr>
        <w:numId w:val="3"/>
      </w:numPr>
    </w:pPr>
  </w:style>
  <w:style w:type="paragraph" w:styleId="ListNumber4">
    <w:name w:val="List Number 4"/>
    <w:basedOn w:val="List4"/>
    <w:rsid w:val="0002056C"/>
    <w:pPr>
      <w:numPr>
        <w:numId w:val="4"/>
      </w:numPr>
    </w:pPr>
  </w:style>
  <w:style w:type="paragraph" w:styleId="ListNumber5">
    <w:name w:val="List Number 5"/>
    <w:basedOn w:val="List5"/>
    <w:rsid w:val="0002056C"/>
    <w:pPr>
      <w:numPr>
        <w:numId w:val="5"/>
      </w:numPr>
    </w:pPr>
  </w:style>
  <w:style w:type="paragraph" w:styleId="BlockText">
    <w:name w:val="Block Text"/>
    <w:basedOn w:val="Normal"/>
    <w:rsid w:val="00020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56C"/>
    <w:rPr>
      <w:sz w:val="16"/>
      <w:vertAlign w:val="superscript"/>
    </w:rPr>
  </w:style>
  <w:style w:type="character" w:customStyle="1" w:styleId="Symbols">
    <w:name w:val="Symbols"/>
    <w:basedOn w:val="DefaultParagraphFont"/>
    <w:rsid w:val="0002056C"/>
    <w:rPr>
      <w:rFonts w:ascii="Symbol" w:hAnsi="Symbol"/>
    </w:rPr>
  </w:style>
  <w:style w:type="character" w:customStyle="1" w:styleId="MenuOptions">
    <w:name w:val="Menu Options"/>
    <w:basedOn w:val="DefaultParagraphFont"/>
    <w:rsid w:val="00020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56C"/>
    <w:rPr>
      <w:b/>
    </w:rPr>
  </w:style>
  <w:style w:type="character" w:customStyle="1" w:styleId="Underlined">
    <w:name w:val="Underlined"/>
    <w:basedOn w:val="DefaultParagraphFont"/>
    <w:rsid w:val="0002056C"/>
    <w:rPr>
      <w:u w:val="single"/>
    </w:rPr>
  </w:style>
  <w:style w:type="paragraph" w:customStyle="1" w:styleId="TableBodyTextRight">
    <w:name w:val="Table Body Text Right"/>
    <w:basedOn w:val="TableBodyText"/>
    <w:rsid w:val="00020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56C"/>
    <w:rPr>
      <w:sz w:val="18"/>
    </w:rPr>
  </w:style>
  <w:style w:type="paragraph" w:customStyle="1" w:styleId="BodySmallRight">
    <w:name w:val="Body Small Right"/>
    <w:basedOn w:val="BodyTextRight"/>
    <w:rsid w:val="0002056C"/>
    <w:rPr>
      <w:sz w:val="18"/>
      <w:szCs w:val="18"/>
    </w:rPr>
  </w:style>
  <w:style w:type="paragraph" w:customStyle="1" w:styleId="MarginEdition">
    <w:name w:val="Margin Edition"/>
    <w:basedOn w:val="MarginNote"/>
    <w:rsid w:val="00020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56C"/>
    <w:rPr>
      <w:sz w:val="2"/>
      <w:szCs w:val="2"/>
    </w:rPr>
  </w:style>
  <w:style w:type="character" w:customStyle="1" w:styleId="Small">
    <w:name w:val="Small"/>
    <w:basedOn w:val="DefaultParagraphFont"/>
    <w:rsid w:val="0002056C"/>
    <w:rPr>
      <w:sz w:val="16"/>
    </w:rPr>
  </w:style>
  <w:style w:type="paragraph" w:customStyle="1" w:styleId="WideTable">
    <w:name w:val="Wide Table"/>
    <w:basedOn w:val="Normal"/>
    <w:rsid w:val="00020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56C"/>
  </w:style>
  <w:style w:type="paragraph" w:styleId="Quote">
    <w:name w:val="Quote"/>
    <w:basedOn w:val="Heading1"/>
    <w:link w:val="QuoteChar"/>
    <w:qFormat/>
    <w:rsid w:val="00020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56C"/>
    <w:pPr>
      <w:pageBreakBefore/>
    </w:pPr>
  </w:style>
  <w:style w:type="paragraph" w:customStyle="1" w:styleId="Border">
    <w:name w:val="Border"/>
    <w:basedOn w:val="Normal"/>
    <w:qFormat/>
    <w:rsid w:val="00020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56C"/>
    <w:rPr>
      <w:u w:val="single"/>
    </w:rPr>
  </w:style>
  <w:style w:type="character" w:customStyle="1" w:styleId="BoldandItalics">
    <w:name w:val="Bold and Italics"/>
    <w:qFormat/>
    <w:rsid w:val="0002056C"/>
    <w:rPr>
      <w:b/>
      <w:i/>
      <w:u w:val="none"/>
    </w:rPr>
  </w:style>
  <w:style w:type="paragraph" w:styleId="BalloonText">
    <w:name w:val="Balloon Text"/>
    <w:basedOn w:val="Normal"/>
    <w:link w:val="BalloonTextChar"/>
    <w:rsid w:val="00020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56C"/>
    <w:pPr>
      <w:spacing w:before="0" w:after="0"/>
    </w:pPr>
  </w:style>
  <w:style w:type="paragraph" w:customStyle="1" w:styleId="BodyTextBold">
    <w:name w:val="Body Text Bold"/>
    <w:basedOn w:val="BodyText"/>
    <w:qFormat/>
    <w:rsid w:val="0002056C"/>
    <w:rPr>
      <w:b/>
    </w:rPr>
  </w:style>
  <w:style w:type="character" w:styleId="Hyperlink">
    <w:name w:val="Hyperlink"/>
    <w:basedOn w:val="DefaultParagraphFont"/>
    <w:uiPriority w:val="99"/>
    <w:unhideWhenUsed/>
    <w:rsid w:val="00E52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470</Words>
  <Characters>2987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RIINHB218D Assist grouting or cementing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2020-07-08T07:15:00Z</dcterms:created>
  <dcterms:modified xsi:type="dcterms:W3CDTF">2020-07-08T07:15:00Z</dcterms:modified>
</cp:coreProperties>
</file>