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993" w:rsidP="006E4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RIINHB205D Assist continuous flight auger drilling</w:t>
      </w:r>
      <w:r>
        <w:fldChar w:fldCharType="end"/>
      </w:r>
    </w:p>
    <w:p w:rsidR="006E4993" w:rsidP="006E4993">
      <w:pPr>
        <w:pStyle w:val="Version"/>
        <w:sectPr w:rsidSect="00165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DE7" w:rsidP="00165DE7">
      <w:pPr>
        <w:pStyle w:val="SuperHeading"/>
      </w:pPr>
      <w:r w:rsidRPr="00165DE7">
        <w:t>Assessment Requirements for RIINHB205D Assist continuous flight auger drilling</w:t>
      </w:r>
    </w:p>
    <w:p w:rsidR="00000000" w:rsidRPr="00165DE7" w:rsidP="00165DE7">
      <w:pPr>
        <w:pStyle w:val="Heading1"/>
      </w:pPr>
      <w:bookmarkStart w:id="1" w:name="O_688798"/>
      <w:bookmarkEnd w:id="1"/>
      <w:r w:rsidRPr="00165DE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E4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E7">
            <w:pPr>
              <w:pStyle w:val="Heading4"/>
              <w:rPr>
                <w:lang w:val="en-NZ"/>
              </w:rPr>
            </w:pPr>
            <w:r w:rsidRPr="00165DE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E7">
            <w:pPr>
              <w:pStyle w:val="Heading4"/>
              <w:rPr>
                <w:lang w:val="en-NZ"/>
              </w:rPr>
            </w:pPr>
            <w:r w:rsidRPr="00165DE7">
              <w:t>Comment</w:t>
            </w:r>
          </w:p>
        </w:tc>
      </w:tr>
      <w:tr w:rsidTr="006E4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This unit replaces RIINHB205A Assist continuous flight auger drilling</w:t>
            </w:r>
          </w:p>
        </w:tc>
      </w:tr>
      <w:tr w:rsidTr="006E49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E7" w:rsidP="00165DE7">
            <w:pPr>
              <w:pStyle w:val="BodyText"/>
            </w:pPr>
            <w:r w:rsidRPr="00165DE7">
              <w:t>Required frequency and volume of evidence amended in Performance evidence.</w:t>
            </w:r>
          </w:p>
          <w:p w:rsidR="00000000" w:rsidRPr="00165DE7" w:rsidP="00165DE7">
            <w:pPr>
              <w:pStyle w:val="BodyText"/>
            </w:pPr>
            <w:r w:rsidRPr="00165DE7">
              <w:t>Substantial amendments made in Assessment Conditions field, including: references to Industry Sectors, assessor and subject matter expert experience requirements, how assessment sho</w:t>
            </w:r>
            <w:r w:rsidRPr="00165DE7">
              <w:t>uld be conducted and what it should confirm.</w:t>
            </w:r>
          </w:p>
        </w:tc>
      </w:tr>
    </w:tbl>
    <w:p w:rsidR="00000000" w:rsidRPr="00165DE7" w:rsidP="00165DE7">
      <w:pPr>
        <w:pStyle w:val="BodyText"/>
      </w:pPr>
    </w:p>
    <w:p w:rsidR="00000000" w:rsidRPr="00165DE7" w:rsidP="00165DE7">
      <w:pPr>
        <w:pStyle w:val="AllowPageBreak"/>
      </w:pPr>
    </w:p>
    <w:p w:rsidR="00000000" w:rsidRPr="00165DE7" w:rsidP="00165DE7">
      <w:pPr>
        <w:pStyle w:val="Heading1"/>
      </w:pPr>
      <w:bookmarkStart w:id="2" w:name="O_688797"/>
      <w:bookmarkEnd w:id="2"/>
      <w:r w:rsidRPr="00165DE7">
        <w:t>Performance Evidence</w:t>
      </w:r>
    </w:p>
    <w:p w:rsidR="00000000" w:rsidRPr="00165DE7" w:rsidP="00165DE7">
      <w:pPr>
        <w:pStyle w:val="BodyText"/>
      </w:pPr>
      <w:r w:rsidRPr="00165DE7">
        <w:t>Evidence is required to be collected that demonstrates a candidate’s competency in this unit. Evidence must be relevant to the roles within this sector’s work operations a</w:t>
      </w:r>
      <w:r w:rsidRPr="00165DE7">
        <w:t>nd satisfy all of the requirements of the performance criteria of this unit and include evidence that the candidate:</w:t>
      </w:r>
    </w:p>
    <w:p w:rsidR="00000000" w:rsidRPr="00165DE7" w:rsidP="00165DE7">
      <w:pPr>
        <w:pStyle w:val="ListBullet"/>
      </w:pPr>
      <w:r w:rsidRPr="00165DE7">
        <w:t>locates and applies relevant documentation, policies and procedures</w:t>
      </w:r>
    </w:p>
    <w:p w:rsidR="00000000" w:rsidRPr="00165DE7" w:rsidP="00165DE7">
      <w:pPr>
        <w:pStyle w:val="ListBullet"/>
      </w:pPr>
      <w:r w:rsidRPr="00165DE7">
        <w:t>implements the requirements, procedures and techniques for the safe, effective and efficient assisting with continuous flight auger drilling including:</w:t>
      </w:r>
    </w:p>
    <w:p w:rsidR="00000000" w:rsidRPr="00165DE7" w:rsidP="00165DE7">
      <w:pPr>
        <w:pStyle w:val="ListBullet2"/>
      </w:pPr>
      <w:r w:rsidRPr="00165DE7">
        <w:t xml:space="preserve">operating ancillary equipment </w:t>
      </w:r>
    </w:p>
    <w:p w:rsidR="00000000" w:rsidRPr="00165DE7" w:rsidP="00165DE7">
      <w:pPr>
        <w:pStyle w:val="ListBullet2"/>
      </w:pPr>
      <w:r w:rsidRPr="00165DE7">
        <w:t>applying basic maintenance and servicing of auxiliary equipment</w:t>
      </w:r>
    </w:p>
    <w:p w:rsidR="00000000" w:rsidRPr="00165DE7" w:rsidP="00165DE7">
      <w:pPr>
        <w:pStyle w:val="ListBullet2"/>
      </w:pPr>
      <w:r w:rsidRPr="00165DE7">
        <w:t>measurin</w:t>
      </w:r>
      <w:r w:rsidRPr="00165DE7">
        <w:t>g and identifying flight auger components</w:t>
      </w:r>
    </w:p>
    <w:p w:rsidR="00000000" w:rsidRPr="00165DE7" w:rsidP="00165DE7">
      <w:pPr>
        <w:pStyle w:val="ListBullet2"/>
      </w:pPr>
      <w:r w:rsidRPr="00165DE7">
        <w:t>identifying thread types in use on site</w:t>
      </w:r>
    </w:p>
    <w:p w:rsidR="00000000" w:rsidRPr="00165DE7" w:rsidP="00165DE7">
      <w:pPr>
        <w:pStyle w:val="ListBullet2"/>
      </w:pPr>
      <w:r w:rsidRPr="00165DE7">
        <w:t>identifying bits in use and how to measure them</w:t>
      </w:r>
    </w:p>
    <w:p w:rsidR="00000000" w:rsidRPr="00165DE7" w:rsidP="00165DE7">
      <w:pPr>
        <w:pStyle w:val="ListBullet2"/>
      </w:pPr>
      <w:r w:rsidRPr="00165DE7">
        <w:t>applying safe storage of tools</w:t>
      </w:r>
    </w:p>
    <w:p w:rsidR="00000000" w:rsidRPr="00165DE7" w:rsidP="00165DE7">
      <w:pPr>
        <w:pStyle w:val="ListBullet2"/>
      </w:pPr>
      <w:r w:rsidRPr="00165DE7">
        <w:t>using load handling equipment on site</w:t>
      </w:r>
    </w:p>
    <w:p w:rsidR="00000000" w:rsidRPr="00165DE7" w:rsidP="00165DE7">
      <w:pPr>
        <w:pStyle w:val="ListBullet2"/>
      </w:pPr>
      <w:r w:rsidRPr="00165DE7">
        <w:t>assisting  the driller in the removal and adding of drill</w:t>
      </w:r>
      <w:r w:rsidRPr="00165DE7">
        <w:t xml:space="preserve"> rods to the line string</w:t>
      </w:r>
    </w:p>
    <w:p w:rsidR="00000000" w:rsidRPr="00165DE7" w:rsidP="00165DE7">
      <w:pPr>
        <w:pStyle w:val="ListBullet2"/>
      </w:pPr>
      <w:r w:rsidRPr="00165DE7">
        <w:t>refuelling vehicles, drill rigs and ancillary equipment</w:t>
      </w:r>
    </w:p>
    <w:p w:rsidR="00000000" w:rsidRPr="00165DE7" w:rsidP="00165DE7">
      <w:pPr>
        <w:pStyle w:val="ListBullet2"/>
      </w:pPr>
      <w:r w:rsidRPr="00165DE7">
        <w:t>identifying and applying correct lubricants</w:t>
      </w:r>
    </w:p>
    <w:p w:rsidR="00000000" w:rsidRPr="00165DE7" w:rsidP="00165DE7">
      <w:pPr>
        <w:pStyle w:val="ListBullet2"/>
      </w:pPr>
      <w:r w:rsidRPr="00165DE7">
        <w:t>handling of samples</w:t>
      </w:r>
    </w:p>
    <w:p w:rsidR="00000000" w:rsidRPr="00165DE7" w:rsidP="00165DE7">
      <w:pPr>
        <w:pStyle w:val="ListBullet2"/>
      </w:pPr>
      <w:r w:rsidRPr="00165DE7">
        <w:t>conducting housekeeping</w:t>
      </w:r>
    </w:p>
    <w:p w:rsidR="00000000" w:rsidRPr="00165DE7" w:rsidP="00165DE7">
      <w:pPr>
        <w:pStyle w:val="ListBullet2"/>
      </w:pPr>
      <w:r w:rsidRPr="00165DE7">
        <w:t>installing restraining devices to pressure and delivery hoses</w:t>
      </w:r>
    </w:p>
    <w:p w:rsidR="00000000" w:rsidRPr="00165DE7" w:rsidP="00165DE7">
      <w:pPr>
        <w:pStyle w:val="ListBullet2"/>
      </w:pPr>
      <w:r w:rsidRPr="00165DE7">
        <w:t>identification of bits to suit differing ground conditions</w:t>
      </w:r>
    </w:p>
    <w:p w:rsidR="00000000" w:rsidRPr="00165DE7" w:rsidP="00165DE7">
      <w:pPr>
        <w:pStyle w:val="ListBullet"/>
      </w:pPr>
      <w:r w:rsidRPr="00165DE7">
        <w:t>works effectively with others to undertake and complete the continuous flight auger drilling tasks that meets all of the required outcomes including:</w:t>
      </w:r>
    </w:p>
    <w:p w:rsidR="00000000" w:rsidRPr="00165DE7" w:rsidP="00165DE7">
      <w:pPr>
        <w:pStyle w:val="ListBullet2"/>
      </w:pPr>
      <w:r w:rsidRPr="00165DE7">
        <w:t>complying with written and verbal reporting r</w:t>
      </w:r>
      <w:r w:rsidRPr="00165DE7">
        <w:t>equirements and procedures</w:t>
      </w:r>
    </w:p>
    <w:p w:rsidR="00000000" w:rsidRPr="00165DE7" w:rsidP="00165DE7">
      <w:pPr>
        <w:pStyle w:val="ListBullet2"/>
      </w:pPr>
      <w:r w:rsidRPr="00165DE7">
        <w:t>communicating clearly and concisely with others to receive and clarify work instructions</w:t>
      </w:r>
    </w:p>
    <w:p w:rsidR="00000000" w:rsidRPr="00165DE7" w:rsidP="00165DE7">
      <w:pPr>
        <w:pStyle w:val="ListBullet2"/>
      </w:pPr>
      <w:r w:rsidRPr="00165DE7">
        <w:t>communicating clearly and concisely with others to resolve coordination requirements throughout work activities</w:t>
      </w:r>
    </w:p>
    <w:p w:rsidR="00000000" w:rsidRPr="00165DE7" w:rsidP="00165DE7">
      <w:pPr>
        <w:pStyle w:val="ListBullet"/>
      </w:pPr>
      <w:r w:rsidRPr="00165DE7">
        <w:t xml:space="preserve">demonstrates completion of </w:t>
      </w:r>
      <w:r w:rsidRPr="00165DE7">
        <w:t>assisting continuous flight auger drilling that safely, effectively and efficiently meets all of the required outcomes on more than one (1) occasion including:</w:t>
      </w:r>
    </w:p>
    <w:p w:rsidR="00000000" w:rsidRPr="00165DE7" w:rsidP="00165DE7">
      <w:pPr>
        <w:pStyle w:val="ListBullet2"/>
      </w:pPr>
      <w:r w:rsidRPr="00165DE7">
        <w:t>fitting and removing bits to and from the lead auger</w:t>
      </w:r>
    </w:p>
    <w:p w:rsidR="00000000" w:rsidRPr="00165DE7" w:rsidP="00165DE7">
      <w:pPr>
        <w:pStyle w:val="ListBullet2"/>
      </w:pPr>
      <w:r w:rsidRPr="00165DE7">
        <w:t>laying out auger string in readiness for a</w:t>
      </w:r>
      <w:r w:rsidRPr="00165DE7">
        <w:t>uger process</w:t>
      </w:r>
    </w:p>
    <w:p w:rsidR="00000000" w:rsidRPr="00165DE7" w:rsidP="00165DE7">
      <w:pPr>
        <w:pStyle w:val="ListBullet2"/>
      </w:pPr>
      <w:r w:rsidRPr="00165DE7">
        <w:t>inserting removing augers from the drill string and assisting with auger to auger connections</w:t>
      </w:r>
    </w:p>
    <w:p w:rsidR="00000000" w:rsidRPr="00165DE7" w:rsidP="00165DE7">
      <w:pPr>
        <w:pStyle w:val="ListBullet2"/>
      </w:pPr>
      <w:r w:rsidRPr="00165DE7">
        <w:t>bagging,  labelling and storing undisturbed samples for transport</w:t>
      </w:r>
    </w:p>
    <w:p w:rsidR="00000000" w:rsidRPr="00165DE7" w:rsidP="00165DE7">
      <w:pPr>
        <w:pStyle w:val="AllowPageBreak"/>
      </w:pPr>
    </w:p>
    <w:p w:rsidR="00000000" w:rsidRPr="00165DE7" w:rsidP="00165DE7">
      <w:pPr>
        <w:pStyle w:val="Heading1"/>
      </w:pPr>
      <w:bookmarkStart w:id="3" w:name="O_688796"/>
      <w:bookmarkEnd w:id="3"/>
      <w:r w:rsidRPr="00165DE7">
        <w:t>Knowledge Evidence</w:t>
      </w:r>
    </w:p>
    <w:p w:rsidR="00000000" w:rsidRPr="00165DE7" w:rsidP="00165DE7">
      <w:pPr>
        <w:pStyle w:val="BodyText"/>
      </w:pPr>
      <w:r w:rsidRPr="00165DE7">
        <w:t>The candidate must demonstrate knowledge  in as</w:t>
      </w:r>
      <w:r w:rsidRPr="00165DE7">
        <w:t>sisting continuous flight auger drilling through:</w:t>
      </w:r>
    </w:p>
    <w:p w:rsidR="00000000" w:rsidRPr="00165DE7" w:rsidP="00165DE7">
      <w:pPr>
        <w:pStyle w:val="ListBullet"/>
      </w:pPr>
      <w:r w:rsidRPr="00165DE7">
        <w:t xml:space="preserve">accessing, interpreting and applying the organisation and site requirements and procedures for: </w:t>
      </w:r>
    </w:p>
    <w:p w:rsidR="00000000" w:rsidRPr="00165DE7" w:rsidP="00165DE7">
      <w:pPr>
        <w:pStyle w:val="ListBullet2"/>
      </w:pPr>
      <w:r w:rsidRPr="00165DE7">
        <w:t>work, health and safety</w:t>
      </w:r>
    </w:p>
    <w:p w:rsidR="00000000" w:rsidRPr="00165DE7" w:rsidP="00165DE7">
      <w:pPr>
        <w:pStyle w:val="ListBullet2"/>
      </w:pPr>
      <w:r w:rsidRPr="00165DE7">
        <w:t>environment issues</w:t>
      </w:r>
    </w:p>
    <w:p w:rsidR="00000000" w:rsidRPr="00165DE7" w:rsidP="00165DE7">
      <w:pPr>
        <w:pStyle w:val="ListBullet2"/>
      </w:pPr>
      <w:r w:rsidRPr="00165DE7">
        <w:t>grouting drill hole</w:t>
      </w:r>
    </w:p>
    <w:p w:rsidR="00000000" w:rsidRPr="00165DE7" w:rsidP="00165DE7">
      <w:pPr>
        <w:pStyle w:val="ListBullet2"/>
      </w:pPr>
      <w:r w:rsidRPr="00165DE7">
        <w:t>acid base sample preservation of groundwater samples</w:t>
      </w:r>
    </w:p>
    <w:p w:rsidR="00000000" w:rsidRPr="00165DE7" w:rsidP="00165DE7">
      <w:pPr>
        <w:pStyle w:val="ListBullet2"/>
      </w:pPr>
      <w:r w:rsidRPr="00165DE7">
        <w:t>field measurement of temperature, pH, specific conductance</w:t>
      </w:r>
    </w:p>
    <w:p w:rsidR="00000000" w:rsidRPr="00165DE7" w:rsidP="00165DE7">
      <w:pPr>
        <w:pStyle w:val="ListBullet2"/>
      </w:pPr>
      <w:r w:rsidRPr="00165DE7">
        <w:t>safety measures for sampling contaminated sites and landfills</w:t>
      </w:r>
    </w:p>
    <w:p w:rsidR="00000000" w:rsidRPr="00165DE7" w:rsidP="00165DE7">
      <w:pPr>
        <w:pStyle w:val="ListBullet2"/>
      </w:pPr>
      <w:r w:rsidRPr="00165DE7">
        <w:t>chain of custody, including use of seals, field log book, chain of custody record,</w:t>
      </w:r>
      <w:r w:rsidRPr="00165DE7">
        <w:t xml:space="preserve"> sample labels and sample request forms</w:t>
      </w:r>
    </w:p>
    <w:p w:rsidR="00000000" w:rsidRPr="00165DE7" w:rsidP="00165DE7">
      <w:pPr>
        <w:pStyle w:val="ListBullet2"/>
      </w:pPr>
      <w:r w:rsidRPr="00165DE7">
        <w:t xml:space="preserve">decontamination of sampling equipment, sample containers, pumps </w:t>
      </w:r>
    </w:p>
    <w:p w:rsidR="00000000" w:rsidRPr="00165DE7" w:rsidP="00165DE7">
      <w:pPr>
        <w:pStyle w:val="ListBullet2"/>
      </w:pPr>
      <w:r w:rsidRPr="00165DE7">
        <w:t>volatile organic compound vials</w:t>
      </w:r>
    </w:p>
    <w:p w:rsidR="00000000" w:rsidRPr="00165DE7" w:rsidP="00165DE7">
      <w:pPr>
        <w:pStyle w:val="ListBullet2"/>
      </w:pPr>
      <w:r w:rsidRPr="00165DE7">
        <w:t xml:space="preserve">test bore and well abandonment </w:t>
      </w:r>
    </w:p>
    <w:p w:rsidR="00000000" w:rsidRPr="00165DE7" w:rsidP="00165DE7">
      <w:pPr>
        <w:pStyle w:val="ListBullet2"/>
      </w:pPr>
      <w:r w:rsidRPr="00165DE7">
        <w:t>basic soil description methods</w:t>
      </w:r>
    </w:p>
    <w:p w:rsidR="00000000" w:rsidRPr="00165DE7" w:rsidP="00165DE7">
      <w:pPr>
        <w:pStyle w:val="ListBullet"/>
      </w:pPr>
      <w:r w:rsidRPr="00165DE7">
        <w:t>preparing for sampling of contaminated site</w:t>
      </w:r>
    </w:p>
    <w:p w:rsidR="00000000" w:rsidRPr="00165DE7" w:rsidP="00165DE7">
      <w:pPr>
        <w:pStyle w:val="ListBullet"/>
      </w:pPr>
      <w:r w:rsidRPr="00165DE7">
        <w:t>identifying and applying sampling methods using SPTs, thin walled samplers, continuous sampling system method, hand augers, trowels</w:t>
      </w:r>
    </w:p>
    <w:p w:rsidR="00000000" w:rsidRPr="00165DE7" w:rsidP="00165DE7">
      <w:pPr>
        <w:pStyle w:val="ListBullet"/>
      </w:pPr>
      <w:r w:rsidRPr="00165DE7">
        <w:t>identifying and applying groundwater sampling protocols and types of sampling tools</w:t>
      </w:r>
    </w:p>
    <w:p w:rsidR="00000000" w:rsidRPr="00165DE7" w:rsidP="00165DE7">
      <w:pPr>
        <w:pStyle w:val="ListBullet"/>
      </w:pPr>
      <w:r w:rsidRPr="00165DE7">
        <w:t>identifying the reasons for identificati</w:t>
      </w:r>
      <w:r w:rsidRPr="00165DE7">
        <w:t>on and care of samples including storage and transport</w:t>
      </w:r>
    </w:p>
    <w:p w:rsidR="00000000" w:rsidRPr="00165DE7" w:rsidP="00165DE7">
      <w:pPr>
        <w:pStyle w:val="ListBullet"/>
      </w:pPr>
      <w:r w:rsidRPr="00165DE7">
        <w:t>calculation of volume in cylinders, tanks</w:t>
      </w:r>
    </w:p>
    <w:p w:rsidR="00000000" w:rsidRPr="00165DE7" w:rsidP="00165DE7">
      <w:pPr>
        <w:pStyle w:val="AllowPageBreak"/>
      </w:pPr>
    </w:p>
    <w:p w:rsidR="00000000" w:rsidRPr="00165DE7" w:rsidP="00165DE7">
      <w:pPr>
        <w:pStyle w:val="Heading1"/>
      </w:pPr>
      <w:bookmarkStart w:id="4" w:name="O_688795"/>
      <w:bookmarkEnd w:id="4"/>
      <w:r w:rsidRPr="00165DE7">
        <w:t>Assessment Conditions</w:t>
      </w:r>
    </w:p>
    <w:p w:rsidR="00000000" w:rsidRPr="00165DE7" w:rsidP="00165DE7">
      <w:pPr>
        <w:pStyle w:val="ListBullet"/>
      </w:pPr>
      <w:r w:rsidRPr="00165DE7">
        <w:t>An assessor of this unit must satisfy the requirements of the NVR/AQTF or their successors; and Industry regulations fo</w:t>
      </w:r>
      <w:r w:rsidRPr="00165DE7">
        <w:t xml:space="preserve">r certification and licensing; and, </w:t>
      </w:r>
    </w:p>
    <w:p w:rsidR="00000000" w:rsidRPr="00165DE7" w:rsidP="00165DE7">
      <w:pPr>
        <w:pStyle w:val="ListBullet"/>
      </w:pPr>
      <w:r w:rsidRPr="00165DE7">
        <w:t>this unit must be assessed in the context of this sector’s work environment; and,</w:t>
      </w:r>
    </w:p>
    <w:p w:rsidR="00000000" w:rsidRPr="00165DE7" w:rsidP="00165DE7">
      <w:pPr>
        <w:pStyle w:val="ListBullet"/>
      </w:pPr>
      <w:r w:rsidRPr="00165DE7">
        <w:t>this unit must be assessed in compliance with relevant legislation/regulation and using policies, procedures, processes and operational m</w:t>
      </w:r>
      <w:r w:rsidRPr="00165DE7">
        <w:t>anuals directly related to the industry sector for which it is being assessed; and,</w:t>
      </w:r>
    </w:p>
    <w:p w:rsidR="00000000" w:rsidRPr="00165DE7" w:rsidP="00165DE7">
      <w:pPr>
        <w:pStyle w:val="ListBullet"/>
      </w:pPr>
      <w:r w:rsidRPr="00165DE7">
        <w:t>assessment may be conducted in conjunction with the assessment of other Units of Competency; and,</w:t>
      </w:r>
    </w:p>
    <w:p w:rsidR="00000000" w:rsidRPr="00165DE7" w:rsidP="00165DE7">
      <w:pPr>
        <w:pStyle w:val="ListBullet"/>
      </w:pPr>
      <w:r w:rsidRPr="00165DE7">
        <w:t>assessment must confirm consistent performance can be applied in a range o</w:t>
      </w:r>
      <w:r w:rsidRPr="00165DE7">
        <w:t>f relevant workplace circumstances; and,</w:t>
      </w:r>
    </w:p>
    <w:p w:rsidR="00000000" w:rsidRPr="00165DE7" w:rsidP="00165DE7">
      <w:pPr>
        <w:pStyle w:val="ListBullet"/>
      </w:pPr>
      <w:r w:rsidRPr="00165DE7">
        <w:t>assessors must demonstrate the performance evidence, and knowledge evidence as outlined in this Unit of Competency, and through the minimum years of current* work experience specified below in an Industry sector rel</w:t>
      </w:r>
      <w:r w:rsidRPr="00165DE7">
        <w:t>evant to the outcomes of the unit; or,</w:t>
      </w:r>
    </w:p>
    <w:p w:rsidR="00000000" w:rsidRPr="00165DE7" w:rsidP="00165DE7">
      <w:pPr>
        <w:pStyle w:val="ListBullet"/>
      </w:pPr>
      <w:r w:rsidRPr="00165DE7">
        <w:t>where the assessor does not meet experience requirements a co-assessment or partnership arrangement must exist between the qualified assessor and an Industry subject matter expert. The Industry subject matter expert s</w:t>
      </w:r>
      <w:r w:rsidRPr="00165DE7">
        <w:t>hould hold the unit being assessed (or an equivalent unit) and/or demonstrate equivalence of skills and knowledge at the unit level. An Industry technical expert must also demonstrate skills and knowledge from the minimum years of current work experience s</w:t>
      </w:r>
      <w:r w:rsidRPr="00165DE7">
        <w:t>pecified below in the Industry sector, including time spent in roles related to the unit being assessed; and,</w:t>
      </w:r>
    </w:p>
    <w:p w:rsidR="00000000" w:rsidRPr="00165DE7" w:rsidP="00165DE7">
      <w:pPr>
        <w:pStyle w:val="ListBullet"/>
      </w:pPr>
      <w:r w:rsidRPr="00165DE7">
        <w:t>assessor and Industry subject matter expert requirements differ depending on the Australian Qualifications Framework Level (AQF) of the qualificat</w:t>
      </w:r>
      <w:r w:rsidRPr="00165DE7">
        <w:t>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Heading4"/>
              <w:rPr>
                <w:lang w:val="en-NZ"/>
              </w:rPr>
            </w:pPr>
            <w:r w:rsidRPr="00165DE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Heading4"/>
              <w:rPr>
                <w:lang w:val="en-NZ"/>
              </w:rPr>
            </w:pPr>
            <w:r w:rsidRPr="00165DE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Heading4"/>
              <w:rPr>
                <w:lang w:val="en-NZ"/>
              </w:rPr>
            </w:pPr>
            <w:r w:rsidRPr="00165DE7">
              <w:t>Required assessor or Industry subject matter expert experience</w:t>
            </w:r>
          </w:p>
        </w:tc>
      </w:tr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1 Year</w:t>
            </w:r>
          </w:p>
        </w:tc>
      </w:tr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2 Years</w:t>
            </w:r>
          </w:p>
        </w:tc>
      </w:tr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3 Years</w:t>
            </w:r>
          </w:p>
        </w:tc>
      </w:tr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5 Years</w:t>
            </w:r>
          </w:p>
        </w:tc>
      </w:tr>
      <w:tr w:rsidTr="00165DE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DE7">
            <w:pPr>
              <w:pStyle w:val="BodyText"/>
              <w:rPr>
                <w:lang w:val="en-NZ"/>
              </w:rPr>
            </w:pPr>
            <w:r w:rsidRPr="00165DE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5DE7" w:rsidP="00165DE7">
            <w:pPr>
              <w:pStyle w:val="BodyText"/>
            </w:pPr>
            <w:r w:rsidRPr="00165DE7">
              <w:t>Where this Unit is being assessed outside of the Resources and Infrastructure Sectors assessor and/or In</w:t>
            </w:r>
            <w:r w:rsidRPr="00165DE7">
              <w:t>dustry subject matter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165DE7" w:rsidP="00165DE7">
      <w:pPr>
        <w:pStyle w:val="BodyText"/>
      </w:pPr>
      <w:r w:rsidRPr="00165DE7">
        <w:t>*Assessors can demonstrate current work</w:t>
      </w:r>
      <w:r w:rsidRPr="00165DE7">
        <w:t xml:space="preserve"> experience through employment within Industry in a role relevant to the outcomes of the Unit; or, for external assessors this can be demonstrated through exposure to Industry by conducting frequent site assessments across various locations.</w:t>
      </w:r>
    </w:p>
    <w:p w:rsidR="006E4993" w:rsidP="00165DE7">
      <w:pPr>
        <w:pStyle w:val="BodyText"/>
      </w:pPr>
      <w:r w:rsidRPr="00165DE7">
        <w:t>**Where a unit</w:t>
      </w:r>
      <w:r w:rsidRPr="00165DE7">
        <w:t xml:space="preserve"> is being delivered outside of a Qualification the first numeric character in the Unit code should be considered to indicate the AQF level</w:t>
      </w:r>
    </w:p>
    <w:p w:rsidR="006E4993" w:rsidP="00165DE7">
      <w:pPr>
        <w:pStyle w:val="BodyText"/>
      </w:pPr>
    </w:p>
    <w:p w:rsidR="00000000" w:rsidRPr="00165DE7" w:rsidP="00165DE7">
      <w:pPr>
        <w:pStyle w:val="Heading1"/>
      </w:pPr>
      <w:bookmarkStart w:id="5" w:name="O_688807"/>
      <w:bookmarkEnd w:id="5"/>
      <w:r w:rsidRPr="00165DE7">
        <w:t>Links</w:t>
      </w:r>
    </w:p>
    <w:p w:rsidR="00000000" w:rsidRPr="00165DE7" w:rsidP="00165DE7">
      <w:pPr>
        <w:pStyle w:val="BodyText"/>
      </w:pPr>
      <w:r w:rsidRPr="00165DE7">
        <w:t>SkillsDMC RII Companion Volumes - http://www.skillsdmc.com.au/</w:t>
      </w:r>
    </w:p>
    <w:p w:rsidR="00000000" w:rsidRPr="00165DE7" w:rsidP="00165DE7"/>
    <w:sectPr w:rsidSect="00165D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 w:rsidRPr="006E4993" w:rsidP="006E4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93" w:rsidP="0016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993" w:rsidP="0016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E4993" w:rsidP="00165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 w:rsidRPr="006E4993" w:rsidP="006E49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93" w:rsidRPr="002D2AF8" w:rsidP="0016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RIINHB205D Assist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E4993" w:rsidP="00165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E6D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2C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0B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DE7"/>
  </w:style>
  <w:style w:type="character" w:customStyle="1" w:styleId="Heading1Char">
    <w:name w:val="Heading 1 Char"/>
    <w:basedOn w:val="DefaultParagraphFont"/>
    <w:link w:val="Heading1"/>
    <w:rsid w:val="00165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D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5D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D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D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DE7"/>
    <w:rPr>
      <w:b/>
      <w:spacing w:val="0"/>
    </w:rPr>
  </w:style>
  <w:style w:type="paragraph" w:customStyle="1" w:styleId="SuperTitle">
    <w:name w:val="SuperTitle"/>
    <w:basedOn w:val="Title"/>
    <w:rsid w:val="00165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DE7"/>
    <w:rPr>
      <w:i/>
    </w:rPr>
  </w:style>
  <w:style w:type="paragraph" w:styleId="Caption">
    <w:name w:val="caption"/>
    <w:basedOn w:val="BodyText"/>
    <w:next w:val="Normal"/>
    <w:qFormat/>
    <w:rsid w:val="00165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DE7"/>
  </w:style>
  <w:style w:type="paragraph" w:styleId="TableofFigures">
    <w:name w:val="table of figures"/>
    <w:basedOn w:val="Normal"/>
    <w:next w:val="Normal"/>
    <w:semiHidden/>
    <w:rsid w:val="00165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DE7"/>
    <w:pPr>
      <w:numPr>
        <w:numId w:val="11"/>
      </w:numPr>
    </w:pPr>
  </w:style>
  <w:style w:type="character" w:customStyle="1" w:styleId="WingdingSymbols">
    <w:name w:val="Wingding Symbols"/>
    <w:rsid w:val="00165DE7"/>
    <w:rPr>
      <w:rFonts w:ascii="Wingdings" w:hAnsi="Wingdings"/>
    </w:rPr>
  </w:style>
  <w:style w:type="paragraph" w:customStyle="1" w:styleId="TableHeading">
    <w:name w:val="Table Heading"/>
    <w:basedOn w:val="HeadingBase"/>
    <w:rsid w:val="00165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DE7"/>
    <w:rPr>
      <w:color w:val="0033CC"/>
      <w:u w:val="none"/>
    </w:rPr>
  </w:style>
  <w:style w:type="paragraph" w:customStyle="1" w:styleId="BodyTextRight">
    <w:name w:val="Body Text Right"/>
    <w:basedOn w:val="BodyText"/>
    <w:rsid w:val="00165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D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DE7"/>
    <w:rPr>
      <w:sz w:val="32"/>
    </w:rPr>
  </w:style>
  <w:style w:type="paragraph" w:customStyle="1" w:styleId="HeadingProcedure">
    <w:name w:val="Heading Procedure"/>
    <w:basedOn w:val="HeadingBase"/>
    <w:next w:val="Normal"/>
    <w:rsid w:val="00165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DE7"/>
    <w:pPr>
      <w:spacing w:before="60" w:after="60"/>
    </w:pPr>
  </w:style>
  <w:style w:type="paragraph" w:styleId="ListContinue">
    <w:name w:val="List Continue"/>
    <w:basedOn w:val="List"/>
    <w:rsid w:val="00165DE7"/>
    <w:pPr>
      <w:ind w:firstLine="0"/>
    </w:pPr>
  </w:style>
  <w:style w:type="paragraph" w:customStyle="1" w:styleId="ListNote">
    <w:name w:val="List Note"/>
    <w:basedOn w:val="List"/>
    <w:rsid w:val="00165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DE7"/>
    <w:rPr>
      <w:rFonts w:ascii="Courier New" w:hAnsi="Courier New"/>
    </w:rPr>
  </w:style>
  <w:style w:type="paragraph" w:customStyle="1" w:styleId="NoteBullet">
    <w:name w:val="Note Bullet"/>
    <w:basedOn w:val="Note"/>
    <w:rsid w:val="00165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D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5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DE7"/>
    <w:rPr>
      <w:b/>
      <w:smallCaps/>
    </w:rPr>
  </w:style>
  <w:style w:type="paragraph" w:customStyle="1" w:styleId="TableListNumber">
    <w:name w:val="Table List Number"/>
    <w:basedOn w:val="ListNumber"/>
    <w:rsid w:val="00165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DE7"/>
    <w:pPr>
      <w:numPr>
        <w:numId w:val="9"/>
      </w:numPr>
    </w:pPr>
  </w:style>
  <w:style w:type="paragraph" w:customStyle="1" w:styleId="ListAlpha2">
    <w:name w:val="List Alpha 2"/>
    <w:basedOn w:val="List2"/>
    <w:rsid w:val="00165DE7"/>
    <w:pPr>
      <w:numPr>
        <w:numId w:val="8"/>
      </w:numPr>
    </w:pPr>
  </w:style>
  <w:style w:type="paragraph" w:styleId="List2">
    <w:name w:val="List 2"/>
    <w:basedOn w:val="BodyText"/>
    <w:rsid w:val="00165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DE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D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DE7"/>
    <w:pPr>
      <w:numPr>
        <w:numId w:val="4"/>
      </w:numPr>
    </w:pPr>
  </w:style>
  <w:style w:type="paragraph" w:styleId="ListContinue2">
    <w:name w:val="List Continue 2"/>
    <w:basedOn w:val="List2"/>
    <w:rsid w:val="00165DE7"/>
    <w:pPr>
      <w:ind w:firstLine="0"/>
    </w:pPr>
  </w:style>
  <w:style w:type="paragraph" w:styleId="ListContinue3">
    <w:name w:val="List Continue 3"/>
    <w:basedOn w:val="List3"/>
    <w:rsid w:val="00165DE7"/>
    <w:pPr>
      <w:ind w:left="1021" w:firstLine="0"/>
    </w:pPr>
  </w:style>
  <w:style w:type="paragraph" w:styleId="ListContinue4">
    <w:name w:val="List Continue 4"/>
    <w:basedOn w:val="List4"/>
    <w:rsid w:val="00165DE7"/>
    <w:pPr>
      <w:ind w:firstLine="0"/>
    </w:pPr>
  </w:style>
  <w:style w:type="paragraph" w:styleId="ListContinue5">
    <w:name w:val="List Continue 5"/>
    <w:basedOn w:val="List5"/>
    <w:rsid w:val="00165DE7"/>
    <w:pPr>
      <w:ind w:firstLine="0"/>
    </w:pPr>
  </w:style>
  <w:style w:type="paragraph" w:styleId="ListNumber3">
    <w:name w:val="List Number 3"/>
    <w:basedOn w:val="List3"/>
    <w:rsid w:val="00165DE7"/>
    <w:pPr>
      <w:numPr>
        <w:numId w:val="5"/>
      </w:numPr>
    </w:pPr>
  </w:style>
  <w:style w:type="paragraph" w:styleId="ListNumber4">
    <w:name w:val="List Number 4"/>
    <w:basedOn w:val="List4"/>
    <w:rsid w:val="00165DE7"/>
    <w:pPr>
      <w:numPr>
        <w:numId w:val="6"/>
      </w:numPr>
    </w:pPr>
  </w:style>
  <w:style w:type="paragraph" w:styleId="ListNumber5">
    <w:name w:val="List Number 5"/>
    <w:basedOn w:val="List5"/>
    <w:rsid w:val="00165DE7"/>
    <w:pPr>
      <w:numPr>
        <w:numId w:val="7"/>
      </w:numPr>
    </w:pPr>
  </w:style>
  <w:style w:type="paragraph" w:styleId="BlockText">
    <w:name w:val="Block Text"/>
    <w:basedOn w:val="Normal"/>
    <w:rsid w:val="00165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DE7"/>
    <w:rPr>
      <w:sz w:val="16"/>
      <w:vertAlign w:val="superscript"/>
    </w:rPr>
  </w:style>
  <w:style w:type="character" w:customStyle="1" w:styleId="Symbols">
    <w:name w:val="Symbols"/>
    <w:basedOn w:val="DefaultParagraphFont"/>
    <w:rsid w:val="00165DE7"/>
    <w:rPr>
      <w:rFonts w:ascii="Symbol" w:hAnsi="Symbol"/>
    </w:rPr>
  </w:style>
  <w:style w:type="character" w:customStyle="1" w:styleId="MenuOptions">
    <w:name w:val="Menu Options"/>
    <w:basedOn w:val="DefaultParagraphFont"/>
    <w:rsid w:val="00165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DE7"/>
    <w:rPr>
      <w:b/>
    </w:rPr>
  </w:style>
  <w:style w:type="character" w:customStyle="1" w:styleId="Underlined">
    <w:name w:val="Underlined"/>
    <w:basedOn w:val="DefaultParagraphFont"/>
    <w:rsid w:val="00165DE7"/>
    <w:rPr>
      <w:u w:val="single"/>
    </w:rPr>
  </w:style>
  <w:style w:type="paragraph" w:customStyle="1" w:styleId="TableBodyTextRight">
    <w:name w:val="Table Body Text Right"/>
    <w:basedOn w:val="TableBodyText"/>
    <w:rsid w:val="00165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DE7"/>
    <w:rPr>
      <w:sz w:val="18"/>
    </w:rPr>
  </w:style>
  <w:style w:type="paragraph" w:customStyle="1" w:styleId="BodySmallRight">
    <w:name w:val="Body Small Right"/>
    <w:basedOn w:val="BodyTextRight"/>
    <w:rsid w:val="00165DE7"/>
    <w:rPr>
      <w:sz w:val="18"/>
      <w:szCs w:val="18"/>
    </w:rPr>
  </w:style>
  <w:style w:type="paragraph" w:customStyle="1" w:styleId="MarginEdition">
    <w:name w:val="Margin Edition"/>
    <w:basedOn w:val="MarginNote"/>
    <w:rsid w:val="00165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DE7"/>
    <w:rPr>
      <w:sz w:val="2"/>
      <w:szCs w:val="2"/>
    </w:rPr>
  </w:style>
  <w:style w:type="character" w:customStyle="1" w:styleId="Small">
    <w:name w:val="Small"/>
    <w:basedOn w:val="DefaultParagraphFont"/>
    <w:rsid w:val="00165DE7"/>
    <w:rPr>
      <w:sz w:val="16"/>
    </w:rPr>
  </w:style>
  <w:style w:type="paragraph" w:customStyle="1" w:styleId="WideTable">
    <w:name w:val="Wide Table"/>
    <w:basedOn w:val="Normal"/>
    <w:rsid w:val="00165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DE7"/>
  </w:style>
  <w:style w:type="paragraph" w:styleId="Quote">
    <w:name w:val="Quote"/>
    <w:basedOn w:val="Heading1"/>
    <w:link w:val="QuoteChar"/>
    <w:qFormat/>
    <w:rsid w:val="00165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DE7"/>
    <w:pPr>
      <w:pageBreakBefore/>
    </w:pPr>
  </w:style>
  <w:style w:type="paragraph" w:customStyle="1" w:styleId="Border">
    <w:name w:val="Border"/>
    <w:basedOn w:val="Normal"/>
    <w:qFormat/>
    <w:rsid w:val="00165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DE7"/>
    <w:rPr>
      <w:u w:val="single"/>
    </w:rPr>
  </w:style>
  <w:style w:type="character" w:customStyle="1" w:styleId="BoldandItalics">
    <w:name w:val="Bold and Italics"/>
    <w:qFormat/>
    <w:rsid w:val="00165DE7"/>
    <w:rPr>
      <w:b/>
      <w:i/>
      <w:u w:val="none"/>
    </w:rPr>
  </w:style>
  <w:style w:type="paragraph" w:styleId="BalloonText">
    <w:name w:val="Balloon Text"/>
    <w:basedOn w:val="Normal"/>
    <w:link w:val="BalloonTextChar"/>
    <w:rsid w:val="00165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D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D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5759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RIINHB205D Assist continuous flight auger drilling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2014-12-07T02:56:00Z</dcterms:created>
  <dcterms:modified xsi:type="dcterms:W3CDTF">2014-12-07T02:56:00Z</dcterms:modified>
</cp:coreProperties>
</file>