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FB3" w:rsidP="00372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RIINHB203D Support drilling process</w:t>
      </w:r>
      <w:r>
        <w:fldChar w:fldCharType="end"/>
      </w:r>
    </w:p>
    <w:p w:rsidR="00372FB3" w:rsidP="00372FB3">
      <w:pPr>
        <w:pStyle w:val="Version"/>
        <w:sectPr w:rsidSect="00545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45507" w:rsidP="00545507">
      <w:pPr>
        <w:pStyle w:val="SuperHeading"/>
      </w:pPr>
      <w:r w:rsidRPr="00545507">
        <w:t>Assessment Requirements for RIINHB203D Support drilling process</w:t>
      </w:r>
    </w:p>
    <w:p w:rsidR="00000000" w:rsidRPr="00545507" w:rsidP="00545507">
      <w:pPr>
        <w:pStyle w:val="Heading1"/>
      </w:pPr>
      <w:bookmarkStart w:id="1" w:name="O_688737"/>
      <w:bookmarkEnd w:id="1"/>
      <w:r w:rsidRPr="005455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72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507">
            <w:pPr>
              <w:pStyle w:val="Heading4"/>
              <w:rPr>
                <w:lang w:val="en-NZ"/>
              </w:rPr>
            </w:pPr>
            <w:r w:rsidRPr="0054550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507">
            <w:pPr>
              <w:pStyle w:val="Heading4"/>
              <w:rPr>
                <w:lang w:val="en-NZ"/>
              </w:rPr>
            </w:pPr>
            <w:r w:rsidRPr="00545507">
              <w:t>Comment</w:t>
            </w:r>
          </w:p>
        </w:tc>
      </w:tr>
      <w:tr w:rsidTr="00372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This unit replaces RIINHB203A Support drilling process.</w:t>
            </w:r>
          </w:p>
        </w:tc>
      </w:tr>
      <w:tr w:rsidTr="00372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Editorial corrections.</w:t>
            </w:r>
          </w:p>
        </w:tc>
      </w:tr>
      <w:tr w:rsidTr="00372F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507" w:rsidP="00545507">
            <w:pPr>
              <w:pStyle w:val="BodyText"/>
            </w:pPr>
            <w:r w:rsidRPr="00545507">
              <w:t>Required frequency and volume of evidence amended in Performance evidence.</w:t>
            </w:r>
          </w:p>
          <w:p w:rsidR="00000000" w:rsidRPr="00545507" w:rsidP="00545507">
            <w:pPr>
              <w:pStyle w:val="BodyText"/>
            </w:pPr>
            <w:r w:rsidRPr="00545507">
              <w:t>Substantial amendments made in Assessment Conditions field, including: references to Industry Sectors, assessor and subject matter expert experience requirements, how assessment sho</w:t>
            </w:r>
            <w:r w:rsidRPr="00545507">
              <w:t>uld be conducted and what it should confirm.</w:t>
            </w:r>
          </w:p>
        </w:tc>
      </w:tr>
    </w:tbl>
    <w:p w:rsidR="00000000" w:rsidRPr="00545507" w:rsidP="00545507">
      <w:pPr>
        <w:pStyle w:val="BodyText"/>
      </w:pPr>
    </w:p>
    <w:p w:rsidR="00000000" w:rsidRPr="00545507" w:rsidP="00545507">
      <w:pPr>
        <w:pStyle w:val="AllowPageBreak"/>
      </w:pPr>
    </w:p>
    <w:p w:rsidR="00000000" w:rsidRPr="00545507" w:rsidP="00545507">
      <w:pPr>
        <w:pStyle w:val="Heading1"/>
      </w:pPr>
      <w:bookmarkStart w:id="2" w:name="O_688736"/>
      <w:bookmarkEnd w:id="2"/>
      <w:r w:rsidRPr="00545507">
        <w:t>Performance Evidence</w:t>
      </w:r>
    </w:p>
    <w:p w:rsidR="00000000" w:rsidRPr="00545507" w:rsidP="00372FB3">
      <w:pPr>
        <w:pStyle w:val="BodyText"/>
      </w:pPr>
      <w:r w:rsidRPr="00545507">
        <w:t>Evidence is required to be collected that demonstrates a candidate’s competency in this unit. Evidence must be relevant to the roles within this sector’</w:t>
      </w:r>
      <w:r w:rsidRPr="00545507">
        <w:t>s work operations and satisfy all of the requirements of the performance criteria of this unit and include evidence that the candidate:</w:t>
      </w:r>
    </w:p>
    <w:p w:rsidR="00000000" w:rsidRPr="00545507" w:rsidP="00545507">
      <w:pPr>
        <w:pStyle w:val="ListBullet"/>
      </w:pPr>
      <w:r w:rsidRPr="00545507">
        <w:t>locates and applies relevant documentation, policies and procedures</w:t>
      </w:r>
    </w:p>
    <w:p w:rsidR="00000000" w:rsidRPr="00545507" w:rsidP="00545507">
      <w:pPr>
        <w:pStyle w:val="ListBullet"/>
      </w:pPr>
      <w:r w:rsidRPr="00545507">
        <w:t xml:space="preserve">implements requirements, procedures and techniques </w:t>
      </w:r>
      <w:r w:rsidRPr="00545507">
        <w:t>for the safe, effective and efficient completion of support of the drilling process including:</w:t>
      </w:r>
    </w:p>
    <w:p w:rsidR="00000000" w:rsidRPr="00545507" w:rsidP="00545507">
      <w:pPr>
        <w:pStyle w:val="ListBullet2"/>
      </w:pPr>
      <w:r w:rsidRPr="00545507">
        <w:t>operating pressure cleaners</w:t>
      </w:r>
    </w:p>
    <w:p w:rsidR="00000000" w:rsidRPr="00545507" w:rsidP="00545507">
      <w:pPr>
        <w:pStyle w:val="ListBullet2"/>
      </w:pPr>
      <w:r w:rsidRPr="00545507">
        <w:t>applying basic operator servicing and maintenance of plant and vehicles</w:t>
      </w:r>
    </w:p>
    <w:p w:rsidR="00000000" w:rsidRPr="00545507" w:rsidP="00545507">
      <w:pPr>
        <w:pStyle w:val="ListBullet2"/>
      </w:pPr>
      <w:r w:rsidRPr="00545507">
        <w:t>applying communication procedures</w:t>
      </w:r>
    </w:p>
    <w:p w:rsidR="00000000" w:rsidRPr="00545507" w:rsidP="00545507">
      <w:pPr>
        <w:pStyle w:val="ListBullet2"/>
      </w:pPr>
      <w:r w:rsidRPr="00545507">
        <w:t>using lifting equipment</w:t>
      </w:r>
    </w:p>
    <w:p w:rsidR="00000000" w:rsidRPr="00545507" w:rsidP="00545507">
      <w:pPr>
        <w:pStyle w:val="ListBullet2"/>
      </w:pPr>
      <w:r w:rsidRPr="00545507">
        <w:t>id</w:t>
      </w:r>
      <w:r w:rsidRPr="00545507">
        <w:t>entifying weathered and fresh rock</w:t>
      </w:r>
    </w:p>
    <w:p w:rsidR="00000000" w:rsidRPr="00545507" w:rsidP="00545507">
      <w:pPr>
        <w:pStyle w:val="ListBullet"/>
      </w:pPr>
      <w:r w:rsidRPr="00545507">
        <w:t xml:space="preserve">works effectively with others to undertake and complete the support of the drilling process that meets all of the required outcomes including: </w:t>
      </w:r>
    </w:p>
    <w:p w:rsidR="00000000" w:rsidRPr="00545507" w:rsidP="00545507">
      <w:pPr>
        <w:pStyle w:val="ListBullet2"/>
      </w:pPr>
      <w:r w:rsidRPr="00545507">
        <w:t>complying with written and verbal reporting requirements and procedures</w:t>
      </w:r>
    </w:p>
    <w:p w:rsidR="00000000" w:rsidRPr="00545507" w:rsidP="00545507">
      <w:pPr>
        <w:pStyle w:val="ListBullet2"/>
      </w:pPr>
      <w:r w:rsidRPr="00545507">
        <w:t>com</w:t>
      </w:r>
      <w:r w:rsidRPr="00545507">
        <w:t>municating clearly and concisely with others to receive and clarify work instructions</w:t>
      </w:r>
    </w:p>
    <w:p w:rsidR="00000000" w:rsidRPr="00545507" w:rsidP="00545507">
      <w:pPr>
        <w:pStyle w:val="ListBullet2"/>
      </w:pPr>
      <w:r w:rsidRPr="00545507">
        <w:t>communicating clearly and concisely with others to resolve coordination requirements prior to commencing and during work activities</w:t>
      </w:r>
    </w:p>
    <w:p w:rsidR="00000000" w:rsidRPr="00545507" w:rsidP="00545507">
      <w:pPr>
        <w:pStyle w:val="ListBullet"/>
      </w:pPr>
      <w:r w:rsidRPr="00545507">
        <w:t>demonstrates completion of the support drilling process that safely, effectively and efficiently meets all of the required outcomes on more than one (1) occasion including:</w:t>
      </w:r>
    </w:p>
    <w:p w:rsidR="00000000" w:rsidRPr="00545507" w:rsidP="00545507">
      <w:pPr>
        <w:pStyle w:val="ListBullet2"/>
      </w:pPr>
      <w:r w:rsidRPr="00545507">
        <w:t>setting up and dismantling ancillary equipment</w:t>
      </w:r>
    </w:p>
    <w:p w:rsidR="00000000" w:rsidRPr="00545507" w:rsidP="00545507">
      <w:pPr>
        <w:pStyle w:val="ListBullet2"/>
      </w:pPr>
      <w:r w:rsidRPr="00545507">
        <w:t>carrying out services connections t</w:t>
      </w:r>
      <w:r w:rsidRPr="00545507">
        <w:t xml:space="preserve">o and from equipment </w:t>
      </w:r>
    </w:p>
    <w:p w:rsidR="00000000" w:rsidRPr="00545507" w:rsidP="00545507">
      <w:pPr>
        <w:pStyle w:val="ListBullet2"/>
      </w:pPr>
      <w:r w:rsidRPr="00545507">
        <w:t>operating and monitoring ancillary equipment</w:t>
      </w:r>
    </w:p>
    <w:p w:rsidR="00000000" w:rsidRPr="00545507" w:rsidP="00545507">
      <w:pPr>
        <w:pStyle w:val="ListBullet2"/>
      </w:pPr>
      <w:r w:rsidRPr="00545507">
        <w:t>maintaining stock levels</w:t>
      </w:r>
    </w:p>
    <w:p w:rsidR="00000000" w:rsidRPr="00545507" w:rsidP="00545507">
      <w:pPr>
        <w:pStyle w:val="AllowPageBreak"/>
      </w:pPr>
    </w:p>
    <w:p w:rsidR="00000000" w:rsidRPr="00545507" w:rsidP="00545507">
      <w:pPr>
        <w:pStyle w:val="Heading1"/>
      </w:pPr>
      <w:bookmarkStart w:id="3" w:name="O_688734"/>
      <w:bookmarkEnd w:id="3"/>
      <w:r w:rsidRPr="00545507">
        <w:t>Knowledge Evidence</w:t>
      </w:r>
    </w:p>
    <w:p w:rsidR="00000000" w:rsidRPr="00545507" w:rsidP="00372FB3">
      <w:pPr>
        <w:pStyle w:val="BodyText"/>
      </w:pPr>
      <w:r w:rsidRPr="00545507">
        <w:t>The candidate must demonstrate knowledge of the following when supporting drilling processes:</w:t>
      </w:r>
    </w:p>
    <w:p w:rsidR="00000000" w:rsidRPr="00545507" w:rsidP="00545507">
      <w:pPr>
        <w:pStyle w:val="ListBullet"/>
      </w:pPr>
      <w:r w:rsidRPr="00545507">
        <w:t>applying the organisation and sit</w:t>
      </w:r>
      <w:r w:rsidRPr="00545507">
        <w:t>e requirements and procedures for:</w:t>
      </w:r>
    </w:p>
    <w:p w:rsidR="00000000" w:rsidRPr="00545507" w:rsidP="00545507">
      <w:pPr>
        <w:pStyle w:val="ListBullet2"/>
      </w:pPr>
      <w:r w:rsidRPr="00545507">
        <w:t>work health and safety</w:t>
      </w:r>
    </w:p>
    <w:p w:rsidR="00000000" w:rsidRPr="00545507" w:rsidP="00545507">
      <w:pPr>
        <w:pStyle w:val="ListBullet2"/>
      </w:pPr>
      <w:r w:rsidRPr="00545507">
        <w:t>operational maintenance</w:t>
      </w:r>
    </w:p>
    <w:p w:rsidR="00000000" w:rsidRPr="00545507" w:rsidP="00545507">
      <w:pPr>
        <w:pStyle w:val="ListBullet2"/>
      </w:pPr>
      <w:r w:rsidRPr="00545507">
        <w:t>environmental issues</w:t>
      </w:r>
    </w:p>
    <w:p w:rsidR="00000000" w:rsidRPr="00545507" w:rsidP="00545507">
      <w:pPr>
        <w:pStyle w:val="ListBullet2"/>
      </w:pPr>
      <w:r w:rsidRPr="00545507">
        <w:t>equipment operation</w:t>
      </w:r>
    </w:p>
    <w:p w:rsidR="00000000" w:rsidRPr="00545507" w:rsidP="00545507">
      <w:pPr>
        <w:pStyle w:val="ListBullet"/>
      </w:pPr>
      <w:r w:rsidRPr="00545507">
        <w:t>identifying equipment characteristics, technical capabilities and limitations</w:t>
      </w:r>
    </w:p>
    <w:p w:rsidR="00000000" w:rsidRPr="00545507" w:rsidP="00545507">
      <w:pPr>
        <w:pStyle w:val="ListBullet"/>
      </w:pPr>
      <w:r w:rsidRPr="00545507">
        <w:t>identifying the layout of basic hydraulic circuits</w:t>
      </w:r>
    </w:p>
    <w:p w:rsidR="00000000" w:rsidRPr="00545507" w:rsidP="00545507">
      <w:pPr>
        <w:pStyle w:val="ListBullet"/>
      </w:pPr>
      <w:r w:rsidRPr="00545507">
        <w:t>applying knowledge of hydraulic and pneumatic systems</w:t>
      </w:r>
    </w:p>
    <w:p w:rsidR="00000000" w:rsidRPr="00545507" w:rsidP="00545507">
      <w:pPr>
        <w:pStyle w:val="ListBullet"/>
      </w:pPr>
      <w:r w:rsidRPr="00545507">
        <w:t xml:space="preserve">interpreting basic geological and technical data </w:t>
      </w:r>
    </w:p>
    <w:p w:rsidR="00000000" w:rsidRPr="00545507" w:rsidP="00545507">
      <w:pPr>
        <w:pStyle w:val="ListBullet"/>
      </w:pPr>
      <w:r w:rsidRPr="00545507">
        <w:t>identifying team roles and objectives</w:t>
      </w:r>
    </w:p>
    <w:p w:rsidR="00000000" w:rsidRPr="00545507" w:rsidP="00545507">
      <w:pPr>
        <w:pStyle w:val="ListBullet"/>
      </w:pPr>
      <w:r w:rsidRPr="00545507">
        <w:t>accessing, reading and interpreting graphical representation, e.g. maps and diagrams</w:t>
      </w:r>
    </w:p>
    <w:p w:rsidR="00000000" w:rsidRPr="00545507" w:rsidP="00545507">
      <w:pPr>
        <w:pStyle w:val="ListBullet"/>
      </w:pPr>
      <w:r w:rsidRPr="00545507">
        <w:t>complying with the requiremen</w:t>
      </w:r>
      <w:r w:rsidRPr="00545507">
        <w:t>ts to ensure cost effective operations, including work practices that limit damage to equipment and minimise use of consumables</w:t>
      </w:r>
    </w:p>
    <w:p w:rsidR="00000000" w:rsidRPr="00545507" w:rsidP="00545507">
      <w:pPr>
        <w:pStyle w:val="AllowPageBreak"/>
      </w:pPr>
    </w:p>
    <w:p w:rsidR="00000000" w:rsidRPr="00545507" w:rsidP="00545507">
      <w:pPr>
        <w:pStyle w:val="Heading1"/>
      </w:pPr>
      <w:bookmarkStart w:id="4" w:name="O_688733"/>
      <w:bookmarkEnd w:id="4"/>
      <w:r w:rsidRPr="00545507">
        <w:t>Assessment Conditions</w:t>
      </w:r>
    </w:p>
    <w:p w:rsidR="00000000" w:rsidRPr="00545507" w:rsidP="00545507">
      <w:pPr>
        <w:pStyle w:val="ListBullet"/>
      </w:pPr>
      <w:r w:rsidRPr="00545507">
        <w:t>An assessor of this unit must satisfy the requirements of the NVR/AQTF or their successo</w:t>
      </w:r>
      <w:r w:rsidRPr="00545507">
        <w:t xml:space="preserve">rs; and Industry regulations for certification and licensing; and, </w:t>
      </w:r>
    </w:p>
    <w:p w:rsidR="00000000" w:rsidRPr="00545507" w:rsidP="00545507">
      <w:pPr>
        <w:pStyle w:val="ListBullet"/>
      </w:pPr>
      <w:r w:rsidRPr="00545507">
        <w:t>this unit must be assessed in the context of this sector’s work environment; and,</w:t>
      </w:r>
    </w:p>
    <w:p w:rsidR="00000000" w:rsidRPr="00545507" w:rsidP="00545507">
      <w:pPr>
        <w:pStyle w:val="ListBullet"/>
      </w:pPr>
      <w:r w:rsidRPr="00545507">
        <w:t>this unit must be assessed in compliance with relevant legislation/regulation and using policies, procedur</w:t>
      </w:r>
      <w:r w:rsidRPr="00545507">
        <w:t>es, processes and operational manuals directly related to the industry sector for which it is being assessed; and,</w:t>
      </w:r>
    </w:p>
    <w:p w:rsidR="00000000" w:rsidRPr="00545507" w:rsidP="00545507">
      <w:pPr>
        <w:pStyle w:val="ListBullet"/>
      </w:pPr>
      <w:r w:rsidRPr="00545507">
        <w:t>assessment may be conducted in conjunction with the assessment of other Units of Competency; and,</w:t>
      </w:r>
    </w:p>
    <w:p w:rsidR="00000000" w:rsidRPr="00545507" w:rsidP="00545507">
      <w:pPr>
        <w:pStyle w:val="ListBullet"/>
      </w:pPr>
      <w:r w:rsidRPr="00545507">
        <w:t>assessment must confirm consistent performa</w:t>
      </w:r>
      <w:r w:rsidRPr="00545507">
        <w:t>nce can be applied in a range of relevant workplace circumstances; and,</w:t>
      </w:r>
    </w:p>
    <w:p w:rsidR="00000000" w:rsidRPr="00545507" w:rsidP="00545507">
      <w:pPr>
        <w:pStyle w:val="ListBullet"/>
      </w:pPr>
      <w:r w:rsidRPr="00545507">
        <w:t xml:space="preserve">assessors must demonstrate the performance evidence, and knowledge evidence as outlined in this Unit of Competency, and through the minimum years of current* work experience specified </w:t>
      </w:r>
      <w:r w:rsidRPr="00545507">
        <w:t>below in an Industry sector relevant to the outcomes of the unit; or,</w:t>
      </w:r>
    </w:p>
    <w:p w:rsidR="00000000" w:rsidRPr="00545507" w:rsidP="00545507">
      <w:pPr>
        <w:pStyle w:val="ListBullet"/>
      </w:pPr>
      <w:r w:rsidRPr="00545507">
        <w:t>where the assessor does not meet experience requirements a co-assessment or partnership arrangement must exist between the qualified assessor and an Industry subject matter expert. The I</w:t>
      </w:r>
      <w:r w:rsidRPr="00545507">
        <w:t>ndustry subject matter expert should hold the unit being assessed (or an equivalent unit) and/or demonstrate equivalence of skills and knowledge at the unit level. An Industry technical expert must also demonstrate skills and knowledge from the minimum yea</w:t>
      </w:r>
      <w:r w:rsidRPr="00545507">
        <w:t>rs of current work experience specified below in the Industry sector, including time spent in roles related to the unit being assessed; and,</w:t>
      </w:r>
    </w:p>
    <w:p w:rsidR="00000000" w:rsidRPr="00545507" w:rsidP="00545507">
      <w:pPr>
        <w:pStyle w:val="ListBullet"/>
      </w:pPr>
      <w:r w:rsidRPr="00545507">
        <w:t>assessor and Industry subject matter expert requirements differ depending on the Australian Qualifications Framewor</w:t>
      </w:r>
      <w:r w:rsidRPr="00545507">
        <w:t>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455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Heading4"/>
              <w:rPr>
                <w:lang w:val="en-NZ"/>
              </w:rPr>
            </w:pPr>
            <w:r w:rsidRPr="0054550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Heading4"/>
              <w:rPr>
                <w:lang w:val="en-NZ"/>
              </w:rPr>
            </w:pPr>
            <w:r w:rsidRPr="0054550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Heading4"/>
              <w:rPr>
                <w:lang w:val="en-NZ"/>
              </w:rPr>
            </w:pPr>
            <w:r w:rsidRPr="00545507">
              <w:t>Required assessor or Industry subject matter expert experience</w:t>
            </w:r>
          </w:p>
        </w:tc>
      </w:tr>
      <w:tr w:rsidTr="005455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Drilling, Metalliferous Mining, Coal Mining, Extractive (Qua</w:t>
            </w:r>
            <w:r w:rsidRPr="00545507">
              <w:t>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1 Year</w:t>
            </w:r>
          </w:p>
        </w:tc>
      </w:tr>
      <w:tr w:rsidTr="005455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2 Years</w:t>
            </w:r>
          </w:p>
        </w:tc>
      </w:tr>
      <w:tr w:rsidTr="005455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3 Years</w:t>
            </w:r>
          </w:p>
        </w:tc>
      </w:tr>
      <w:tr w:rsidTr="005455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5 Years</w:t>
            </w:r>
          </w:p>
        </w:tc>
      </w:tr>
      <w:tr w:rsidTr="0054550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507">
            <w:pPr>
              <w:pStyle w:val="BodyText"/>
              <w:rPr>
                <w:lang w:val="en-NZ"/>
              </w:rPr>
            </w:pPr>
            <w:r w:rsidRPr="0054550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5507" w:rsidP="00545507">
            <w:pPr>
              <w:pStyle w:val="BodyText"/>
            </w:pPr>
            <w:r w:rsidRPr="0054550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45507">
              <w:t>ndard is specified should comply with any relevant regulation.</w:t>
            </w:r>
          </w:p>
        </w:tc>
      </w:tr>
    </w:tbl>
    <w:p w:rsidR="00000000" w:rsidRPr="00545507" w:rsidP="00372FB3">
      <w:pPr>
        <w:pStyle w:val="BodyText"/>
      </w:pPr>
      <w:r w:rsidRPr="00545507">
        <w:t>*Assessors can demonstrate current work experience through employment within Industry in a role relevant to the outcomes of the Unit; or, for external assessors this can be demonstrated throu</w:t>
      </w:r>
      <w:r w:rsidRPr="00545507">
        <w:t>gh exposure to Industry by conducting frequent site assessments across various locations.</w:t>
      </w:r>
    </w:p>
    <w:p w:rsidR="00000000" w:rsidRPr="00545507" w:rsidP="00372FB3">
      <w:pPr>
        <w:pStyle w:val="BodyText"/>
      </w:pPr>
      <w:r w:rsidRPr="00545507">
        <w:t>**Where a unit is being delivered outside of a Qualification the first numeric character in the Unit code should be considered to indicate the AQF level</w:t>
      </w:r>
    </w:p>
    <w:p w:rsidR="00000000" w:rsidRPr="00545507" w:rsidP="00545507">
      <w:pPr>
        <w:pStyle w:val="Heading1"/>
      </w:pPr>
      <w:bookmarkStart w:id="5" w:name="O_688747"/>
      <w:bookmarkEnd w:id="5"/>
      <w:r w:rsidRPr="00545507">
        <w:t>Links</w:t>
      </w:r>
    </w:p>
    <w:p w:rsidR="00000000" w:rsidRPr="00545507" w:rsidP="00372FB3">
      <w:pPr>
        <w:pStyle w:val="BodyText"/>
      </w:pPr>
      <w:r w:rsidRPr="00545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C740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5507" w:rsidP="00545507"/>
    <w:sectPr w:rsidSect="005455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07" w:rsidRPr="00372FB3" w:rsidP="00372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FB3" w:rsidP="00545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FB3" w:rsidP="00545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2FB3" w:rsidP="00545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507" w:rsidRPr="00372FB3" w:rsidP="00372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FB3" w:rsidRPr="002D2AF8" w:rsidP="00545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RIINHB203D Support drilling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72FB3" w:rsidP="00545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DC9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0EB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3EB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507"/>
  </w:style>
  <w:style w:type="character" w:customStyle="1" w:styleId="Heading1Char">
    <w:name w:val="Heading 1 Char"/>
    <w:basedOn w:val="DefaultParagraphFont"/>
    <w:link w:val="Heading1"/>
    <w:rsid w:val="00545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50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45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5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5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507"/>
    <w:rPr>
      <w:b/>
      <w:spacing w:val="0"/>
    </w:rPr>
  </w:style>
  <w:style w:type="paragraph" w:customStyle="1" w:styleId="SuperTitle">
    <w:name w:val="SuperTitle"/>
    <w:basedOn w:val="Title"/>
    <w:rsid w:val="00545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5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507"/>
    <w:rPr>
      <w:i/>
    </w:rPr>
  </w:style>
  <w:style w:type="paragraph" w:styleId="Caption">
    <w:name w:val="caption"/>
    <w:basedOn w:val="BodyText"/>
    <w:next w:val="Normal"/>
    <w:qFormat/>
    <w:rsid w:val="00545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507"/>
  </w:style>
  <w:style w:type="paragraph" w:styleId="TableofFigures">
    <w:name w:val="table of figures"/>
    <w:basedOn w:val="Normal"/>
    <w:next w:val="Normal"/>
    <w:semiHidden/>
    <w:rsid w:val="00545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5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507"/>
    <w:rPr>
      <w:rFonts w:ascii="Wingdings" w:hAnsi="Wingdings"/>
    </w:rPr>
  </w:style>
  <w:style w:type="paragraph" w:customStyle="1" w:styleId="TableHeading">
    <w:name w:val="Table Heading"/>
    <w:basedOn w:val="HeadingBase"/>
    <w:rsid w:val="00545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507"/>
    <w:rPr>
      <w:color w:val="0033CC"/>
      <w:u w:val="none"/>
    </w:rPr>
  </w:style>
  <w:style w:type="paragraph" w:customStyle="1" w:styleId="BodyTextRight">
    <w:name w:val="Body Text Right"/>
    <w:basedOn w:val="BodyText"/>
    <w:rsid w:val="00545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507"/>
    <w:rPr>
      <w:sz w:val="32"/>
    </w:rPr>
  </w:style>
  <w:style w:type="paragraph" w:customStyle="1" w:styleId="HeadingProcedure">
    <w:name w:val="Heading Procedure"/>
    <w:basedOn w:val="HeadingBase"/>
    <w:next w:val="Normal"/>
    <w:rsid w:val="00545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507"/>
    <w:pPr>
      <w:spacing w:before="60" w:after="60"/>
    </w:pPr>
  </w:style>
  <w:style w:type="paragraph" w:styleId="ListContinue">
    <w:name w:val="List Continue"/>
    <w:basedOn w:val="List"/>
    <w:rsid w:val="00545507"/>
    <w:pPr>
      <w:ind w:firstLine="0"/>
    </w:pPr>
  </w:style>
  <w:style w:type="paragraph" w:customStyle="1" w:styleId="ListNote">
    <w:name w:val="List Note"/>
    <w:basedOn w:val="List"/>
    <w:rsid w:val="00545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507"/>
    <w:rPr>
      <w:rFonts w:ascii="Courier New" w:hAnsi="Courier New"/>
    </w:rPr>
  </w:style>
  <w:style w:type="paragraph" w:customStyle="1" w:styleId="NoteBullet">
    <w:name w:val="Note Bullet"/>
    <w:basedOn w:val="Note"/>
    <w:rsid w:val="00545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5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507"/>
    <w:rPr>
      <w:b/>
      <w:smallCaps/>
    </w:rPr>
  </w:style>
  <w:style w:type="paragraph" w:customStyle="1" w:styleId="TableListNumber">
    <w:name w:val="Table List Number"/>
    <w:basedOn w:val="ListNumber"/>
    <w:rsid w:val="00545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507"/>
    <w:pPr>
      <w:numPr>
        <w:numId w:val="9"/>
      </w:numPr>
    </w:pPr>
  </w:style>
  <w:style w:type="paragraph" w:customStyle="1" w:styleId="ListAlpha2">
    <w:name w:val="List Alpha 2"/>
    <w:basedOn w:val="List2"/>
    <w:rsid w:val="00545507"/>
    <w:pPr>
      <w:numPr>
        <w:numId w:val="8"/>
      </w:numPr>
    </w:pPr>
  </w:style>
  <w:style w:type="paragraph" w:styleId="List2">
    <w:name w:val="List 2"/>
    <w:basedOn w:val="BodyText"/>
    <w:rsid w:val="00545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5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507"/>
    <w:pPr>
      <w:numPr>
        <w:numId w:val="4"/>
      </w:numPr>
    </w:pPr>
  </w:style>
  <w:style w:type="paragraph" w:styleId="ListContinue2">
    <w:name w:val="List Continue 2"/>
    <w:basedOn w:val="List2"/>
    <w:rsid w:val="00545507"/>
    <w:pPr>
      <w:ind w:firstLine="0"/>
    </w:pPr>
  </w:style>
  <w:style w:type="paragraph" w:styleId="ListContinue3">
    <w:name w:val="List Continue 3"/>
    <w:basedOn w:val="List3"/>
    <w:rsid w:val="00545507"/>
    <w:pPr>
      <w:ind w:left="1021" w:firstLine="0"/>
    </w:pPr>
  </w:style>
  <w:style w:type="paragraph" w:styleId="ListContinue4">
    <w:name w:val="List Continue 4"/>
    <w:basedOn w:val="List4"/>
    <w:rsid w:val="00545507"/>
    <w:pPr>
      <w:ind w:firstLine="0"/>
    </w:pPr>
  </w:style>
  <w:style w:type="paragraph" w:styleId="ListContinue5">
    <w:name w:val="List Continue 5"/>
    <w:basedOn w:val="List5"/>
    <w:rsid w:val="00545507"/>
    <w:pPr>
      <w:ind w:firstLine="0"/>
    </w:pPr>
  </w:style>
  <w:style w:type="paragraph" w:styleId="ListNumber3">
    <w:name w:val="List Number 3"/>
    <w:basedOn w:val="List3"/>
    <w:rsid w:val="00545507"/>
    <w:pPr>
      <w:numPr>
        <w:numId w:val="5"/>
      </w:numPr>
    </w:pPr>
  </w:style>
  <w:style w:type="paragraph" w:styleId="ListNumber4">
    <w:name w:val="List Number 4"/>
    <w:basedOn w:val="List4"/>
    <w:rsid w:val="00545507"/>
    <w:pPr>
      <w:numPr>
        <w:numId w:val="6"/>
      </w:numPr>
    </w:pPr>
  </w:style>
  <w:style w:type="paragraph" w:styleId="ListNumber5">
    <w:name w:val="List Number 5"/>
    <w:basedOn w:val="List5"/>
    <w:rsid w:val="00545507"/>
    <w:pPr>
      <w:numPr>
        <w:numId w:val="7"/>
      </w:numPr>
    </w:pPr>
  </w:style>
  <w:style w:type="paragraph" w:styleId="BlockText">
    <w:name w:val="Block Text"/>
    <w:basedOn w:val="Normal"/>
    <w:rsid w:val="00545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507"/>
    <w:rPr>
      <w:sz w:val="16"/>
      <w:vertAlign w:val="superscript"/>
    </w:rPr>
  </w:style>
  <w:style w:type="character" w:customStyle="1" w:styleId="Symbols">
    <w:name w:val="Symbols"/>
    <w:basedOn w:val="DefaultParagraphFont"/>
    <w:rsid w:val="00545507"/>
    <w:rPr>
      <w:rFonts w:ascii="Symbol" w:hAnsi="Symbol"/>
    </w:rPr>
  </w:style>
  <w:style w:type="character" w:customStyle="1" w:styleId="MenuOptions">
    <w:name w:val="Menu Options"/>
    <w:basedOn w:val="DefaultParagraphFont"/>
    <w:rsid w:val="00545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507"/>
    <w:rPr>
      <w:b/>
    </w:rPr>
  </w:style>
  <w:style w:type="character" w:customStyle="1" w:styleId="Underlined">
    <w:name w:val="Underlined"/>
    <w:basedOn w:val="DefaultParagraphFont"/>
    <w:rsid w:val="00545507"/>
    <w:rPr>
      <w:u w:val="single"/>
    </w:rPr>
  </w:style>
  <w:style w:type="paragraph" w:customStyle="1" w:styleId="TableBodyTextRight">
    <w:name w:val="Table Body Text Right"/>
    <w:basedOn w:val="TableBodyText"/>
    <w:rsid w:val="00545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507"/>
    <w:rPr>
      <w:sz w:val="18"/>
    </w:rPr>
  </w:style>
  <w:style w:type="paragraph" w:customStyle="1" w:styleId="BodySmallRight">
    <w:name w:val="Body Small Right"/>
    <w:basedOn w:val="BodyTextRight"/>
    <w:rsid w:val="00545507"/>
    <w:rPr>
      <w:sz w:val="18"/>
      <w:szCs w:val="18"/>
    </w:rPr>
  </w:style>
  <w:style w:type="paragraph" w:customStyle="1" w:styleId="MarginEdition">
    <w:name w:val="Margin Edition"/>
    <w:basedOn w:val="MarginNote"/>
    <w:rsid w:val="00545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507"/>
    <w:rPr>
      <w:sz w:val="2"/>
      <w:szCs w:val="2"/>
    </w:rPr>
  </w:style>
  <w:style w:type="character" w:customStyle="1" w:styleId="Small">
    <w:name w:val="Small"/>
    <w:basedOn w:val="DefaultParagraphFont"/>
    <w:rsid w:val="00545507"/>
    <w:rPr>
      <w:sz w:val="16"/>
    </w:rPr>
  </w:style>
  <w:style w:type="paragraph" w:customStyle="1" w:styleId="WideTable">
    <w:name w:val="Wide Table"/>
    <w:basedOn w:val="Normal"/>
    <w:rsid w:val="00545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507"/>
  </w:style>
  <w:style w:type="paragraph" w:styleId="Quote">
    <w:name w:val="Quote"/>
    <w:basedOn w:val="Heading1"/>
    <w:link w:val="QuoteChar"/>
    <w:qFormat/>
    <w:rsid w:val="00545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507"/>
    <w:pPr>
      <w:pageBreakBefore/>
    </w:pPr>
  </w:style>
  <w:style w:type="paragraph" w:customStyle="1" w:styleId="Border">
    <w:name w:val="Border"/>
    <w:basedOn w:val="Normal"/>
    <w:qFormat/>
    <w:rsid w:val="00545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507"/>
    <w:rPr>
      <w:u w:val="single"/>
    </w:rPr>
  </w:style>
  <w:style w:type="character" w:customStyle="1" w:styleId="BoldandItalics">
    <w:name w:val="Bold and Italics"/>
    <w:qFormat/>
    <w:rsid w:val="00545507"/>
    <w:rPr>
      <w:b/>
      <w:i/>
      <w:u w:val="none"/>
    </w:rPr>
  </w:style>
  <w:style w:type="paragraph" w:styleId="BalloonText">
    <w:name w:val="Balloon Text"/>
    <w:basedOn w:val="Normal"/>
    <w:link w:val="BalloonTextChar"/>
    <w:rsid w:val="00545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507"/>
    <w:pPr>
      <w:spacing w:before="0" w:after="0"/>
    </w:pPr>
  </w:style>
  <w:style w:type="paragraph" w:customStyle="1" w:styleId="BodyTextBold">
    <w:name w:val="Body Text Bold"/>
    <w:basedOn w:val="BodyText"/>
    <w:qFormat/>
    <w:rsid w:val="00545507"/>
    <w:rPr>
      <w:b/>
    </w:rPr>
  </w:style>
  <w:style w:type="character" w:styleId="Hyperlink">
    <w:name w:val="Hyperlink"/>
    <w:basedOn w:val="DefaultParagraphFont"/>
    <w:uiPriority w:val="99"/>
    <w:unhideWhenUsed/>
    <w:rsid w:val="00372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5182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RIINHB203D Support drilling process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2020-07-08T06:38:00Z</dcterms:created>
  <dcterms:modified xsi:type="dcterms:W3CDTF">2020-07-08T06:38:00Z</dcterms:modified>
</cp:coreProperties>
</file>