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D79" w:rsidP="007B6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RIINHB201D Load, secure and unload drilling equipment and materials</w:t>
      </w:r>
      <w:r>
        <w:fldChar w:fldCharType="end"/>
      </w:r>
    </w:p>
    <w:p w:rsidR="007B6D79" w:rsidP="007B6D79">
      <w:pPr>
        <w:pStyle w:val="Version"/>
        <w:sectPr w:rsidSect="00537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37CF9" w:rsidP="00537CF9">
      <w:pPr>
        <w:pStyle w:val="SuperHeading"/>
      </w:pPr>
      <w:r w:rsidRPr="00537CF9">
        <w:t>Assessment Requirements for RIINHB201D Load, secure and unload drilling equipment and materials</w:t>
      </w:r>
    </w:p>
    <w:p w:rsidR="00000000" w:rsidRPr="00537CF9" w:rsidP="00537CF9">
      <w:pPr>
        <w:pStyle w:val="Heading1"/>
      </w:pPr>
      <w:bookmarkStart w:id="1" w:name="O_688464"/>
      <w:bookmarkEnd w:id="1"/>
      <w:r w:rsidRPr="00537C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B6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Heading4"/>
              <w:rPr>
                <w:lang w:val="en-NZ"/>
              </w:rPr>
            </w:pPr>
            <w:r w:rsidRPr="00537CF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Heading4"/>
              <w:rPr>
                <w:lang w:val="en-NZ"/>
              </w:rPr>
            </w:pPr>
            <w:r w:rsidRPr="00537CF9">
              <w:t>Comment</w:t>
            </w:r>
          </w:p>
        </w:tc>
      </w:tr>
      <w:tr w:rsidTr="007B6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This unit replaces RIINHB201B Load, secure and unload drilling equipment and materials</w:t>
            </w:r>
          </w:p>
        </w:tc>
      </w:tr>
      <w:tr w:rsidTr="007B6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Corrected Performance Criteria numbering.</w:t>
            </w:r>
          </w:p>
        </w:tc>
      </w:tr>
      <w:tr w:rsidTr="007B6D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Editorial corrections.</w:t>
            </w:r>
          </w:p>
        </w:tc>
      </w:tr>
      <w:tr w:rsidTr="007B6D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CF9" w:rsidP="00537CF9">
            <w:pPr>
              <w:pStyle w:val="BodyText"/>
            </w:pPr>
            <w:r w:rsidRPr="00537CF9">
              <w:t>Required frequency and volume of evidence amended in Performance evidence.</w:t>
            </w:r>
          </w:p>
          <w:p w:rsidR="00000000" w:rsidRPr="00537CF9" w:rsidP="00537CF9">
            <w:pPr>
              <w:pStyle w:val="BodyText"/>
            </w:pPr>
            <w:r w:rsidRPr="00537CF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37CF9" w:rsidP="00537CF9">
      <w:pPr>
        <w:pStyle w:val="BodyText"/>
      </w:pPr>
    </w:p>
    <w:p w:rsidR="00000000" w:rsidRPr="00537CF9" w:rsidP="00537CF9">
      <w:pPr>
        <w:pStyle w:val="AllowPageBreak"/>
      </w:pPr>
    </w:p>
    <w:p w:rsidR="00000000" w:rsidRPr="00537CF9" w:rsidP="00537CF9">
      <w:pPr>
        <w:pStyle w:val="Heading1"/>
      </w:pPr>
      <w:bookmarkStart w:id="2" w:name="O_688463"/>
      <w:bookmarkEnd w:id="2"/>
      <w:r w:rsidRPr="00537CF9">
        <w:t>Performance</w:t>
      </w:r>
      <w:r w:rsidRPr="00537CF9">
        <w:t xml:space="preserve"> Evidence</w:t>
      </w:r>
    </w:p>
    <w:p w:rsidR="00000000" w:rsidRPr="00537CF9" w:rsidP="007B6D79">
      <w:pPr>
        <w:pStyle w:val="BodyText"/>
      </w:pPr>
      <w:r w:rsidRPr="00537CF9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537CF9">
        <w:t xml:space="preserve"> and include evidence that the candidate:</w:t>
      </w:r>
    </w:p>
    <w:p w:rsidR="00000000" w:rsidRPr="00537CF9" w:rsidP="00537CF9">
      <w:pPr>
        <w:pStyle w:val="ListBullet"/>
      </w:pPr>
      <w:r w:rsidRPr="00537CF9">
        <w:t>locates and applies relevant documentation, policies and procedures</w:t>
      </w:r>
    </w:p>
    <w:p w:rsidR="00000000" w:rsidRPr="00537CF9" w:rsidP="00537CF9">
      <w:pPr>
        <w:pStyle w:val="ListBullet"/>
      </w:pPr>
      <w:r w:rsidRPr="00537CF9">
        <w:t>works effectively with others to undertake and complete the loading, securing and unloading of drilling equipment and materials that meets all of</w:t>
      </w:r>
      <w:r w:rsidRPr="00537CF9">
        <w:t xml:space="preserve"> the required outcomes including:</w:t>
      </w:r>
    </w:p>
    <w:p w:rsidR="00000000" w:rsidRPr="00537CF9" w:rsidP="00537CF9">
      <w:pPr>
        <w:pStyle w:val="ListBullet2"/>
      </w:pPr>
      <w:r w:rsidRPr="00537CF9">
        <w:t>complying with written and verbal reporting requirements and procedures</w:t>
      </w:r>
    </w:p>
    <w:p w:rsidR="00000000" w:rsidRPr="00537CF9" w:rsidP="00537CF9">
      <w:pPr>
        <w:pStyle w:val="ListBullet2"/>
      </w:pPr>
      <w:r w:rsidRPr="00537CF9">
        <w:t>communicating clearly and concisely with others to receive and clarify work instructions</w:t>
      </w:r>
    </w:p>
    <w:p w:rsidR="00000000" w:rsidRPr="00537CF9" w:rsidP="00537CF9">
      <w:pPr>
        <w:pStyle w:val="ListBullet2"/>
      </w:pPr>
      <w:r w:rsidRPr="00537CF9">
        <w:t>communicating clearly and concisely with others to resolve coordination requirements throughout work activities</w:t>
      </w:r>
    </w:p>
    <w:p w:rsidR="00000000" w:rsidRPr="00537CF9" w:rsidP="00537CF9">
      <w:pPr>
        <w:pStyle w:val="ListBullet"/>
      </w:pPr>
      <w:r w:rsidRPr="00537CF9">
        <w:t xml:space="preserve">demonstrates completion of loading, securing and unloading drilling equipment and materials that safely, effectively and efficiently meets all </w:t>
      </w:r>
      <w:r w:rsidRPr="00537CF9">
        <w:t>of the required outcomes on more than one (1) occasion including:</w:t>
      </w:r>
    </w:p>
    <w:p w:rsidR="00000000" w:rsidRPr="00537CF9" w:rsidP="00537CF9">
      <w:pPr>
        <w:pStyle w:val="ListBullet2"/>
      </w:pPr>
      <w:r w:rsidRPr="00537CF9">
        <w:t>assessing load for hazardous and dangerous goods</w:t>
      </w:r>
    </w:p>
    <w:p w:rsidR="00000000" w:rsidRPr="00537CF9" w:rsidP="00537CF9">
      <w:pPr>
        <w:pStyle w:val="ListBullet2"/>
      </w:pPr>
      <w:r w:rsidRPr="00537CF9">
        <w:t xml:space="preserve">identifying load characteristics and using appropriate loading techniques to safely and efficiently move load </w:t>
      </w:r>
    </w:p>
    <w:p w:rsidR="00000000" w:rsidRPr="00537CF9" w:rsidP="00537CF9">
      <w:pPr>
        <w:pStyle w:val="ListBullet2"/>
      </w:pPr>
      <w:r w:rsidRPr="00537CF9">
        <w:t>securing load at approved anc</w:t>
      </w:r>
      <w:r w:rsidRPr="00537CF9">
        <w:t>horage points</w:t>
      </w:r>
    </w:p>
    <w:p w:rsidR="00000000" w:rsidRPr="00537CF9" w:rsidP="00537CF9">
      <w:pPr>
        <w:pStyle w:val="ListBullet2"/>
      </w:pPr>
      <w:r w:rsidRPr="00537CF9">
        <w:t>checking the distribution of the load and ensure it is even, legal and within safe working capacity</w:t>
      </w:r>
    </w:p>
    <w:p w:rsidR="00000000" w:rsidRPr="00537CF9" w:rsidP="00537CF9">
      <w:pPr>
        <w:pStyle w:val="AllowPageBreak"/>
      </w:pPr>
    </w:p>
    <w:p w:rsidR="00000000" w:rsidRPr="00537CF9" w:rsidP="00537CF9">
      <w:pPr>
        <w:pStyle w:val="Heading1"/>
      </w:pPr>
      <w:bookmarkStart w:id="3" w:name="O_688462"/>
      <w:bookmarkEnd w:id="3"/>
      <w:r w:rsidRPr="00537CF9">
        <w:t>Knowledge Evidence</w:t>
      </w:r>
    </w:p>
    <w:p w:rsidR="00000000" w:rsidRPr="00537CF9" w:rsidP="007B6D79">
      <w:pPr>
        <w:pStyle w:val="BodyText"/>
      </w:pPr>
      <w:r w:rsidRPr="00537CF9">
        <w:t>The candidate must demonstrate knowledge of the following when loading, securing and unloading drilling eq</w:t>
      </w:r>
      <w:r w:rsidRPr="00537CF9">
        <w:t>uipment and materials:</w:t>
      </w:r>
    </w:p>
    <w:p w:rsidR="00000000" w:rsidRPr="00537CF9" w:rsidP="00537CF9">
      <w:pPr>
        <w:pStyle w:val="ListBullet"/>
      </w:pPr>
      <w:r w:rsidRPr="00537CF9">
        <w:t>applying the organisation and site requirements and procedures for:</w:t>
      </w:r>
    </w:p>
    <w:p w:rsidR="00000000" w:rsidRPr="00537CF9" w:rsidP="00537CF9">
      <w:pPr>
        <w:pStyle w:val="ListBullet2"/>
      </w:pPr>
      <w:r w:rsidRPr="00537CF9">
        <w:t>work, health and safety</w:t>
      </w:r>
    </w:p>
    <w:p w:rsidR="00000000" w:rsidRPr="00537CF9" w:rsidP="00537CF9">
      <w:pPr>
        <w:pStyle w:val="ListBullet2"/>
      </w:pPr>
      <w:r w:rsidRPr="00537CF9">
        <w:t xml:space="preserve">contaminant identification and management </w:t>
      </w:r>
    </w:p>
    <w:p w:rsidR="00000000" w:rsidRPr="00537CF9" w:rsidP="00537CF9">
      <w:pPr>
        <w:pStyle w:val="ListBullet2"/>
      </w:pPr>
      <w:r w:rsidRPr="00537CF9">
        <w:t xml:space="preserve">emergency response </w:t>
      </w:r>
    </w:p>
    <w:p w:rsidR="00000000" w:rsidRPr="00537CF9" w:rsidP="00537CF9">
      <w:pPr>
        <w:pStyle w:val="ListBullet2"/>
      </w:pPr>
      <w:r w:rsidRPr="00537CF9">
        <w:t>environmental issues</w:t>
      </w:r>
    </w:p>
    <w:p w:rsidR="00000000" w:rsidRPr="00537CF9" w:rsidP="00537CF9">
      <w:pPr>
        <w:pStyle w:val="ListBullet2"/>
      </w:pPr>
      <w:r w:rsidRPr="00537CF9">
        <w:t>safe carrying of loads</w:t>
      </w:r>
    </w:p>
    <w:p w:rsidR="00000000" w:rsidRPr="00537CF9" w:rsidP="00537CF9">
      <w:pPr>
        <w:pStyle w:val="ListBullet2"/>
      </w:pPr>
      <w:r w:rsidRPr="00537CF9">
        <w:t xml:space="preserve">hazardous goods procedures and spills </w:t>
      </w:r>
    </w:p>
    <w:p w:rsidR="00000000" w:rsidRPr="00537CF9" w:rsidP="00537CF9">
      <w:pPr>
        <w:pStyle w:val="ListBullet2"/>
      </w:pPr>
      <w:r w:rsidRPr="00537CF9">
        <w:t xml:space="preserve">identifying and reporting equipment faults </w:t>
      </w:r>
    </w:p>
    <w:p w:rsidR="00000000" w:rsidRPr="00537CF9" w:rsidP="00537CF9">
      <w:pPr>
        <w:pStyle w:val="ListBullet2"/>
      </w:pPr>
      <w:r w:rsidRPr="00537CF9">
        <w:t xml:space="preserve">equipment isolation </w:t>
      </w:r>
    </w:p>
    <w:p w:rsidR="00000000" w:rsidRPr="00537CF9" w:rsidP="00537CF9">
      <w:pPr>
        <w:pStyle w:val="ListBullet2"/>
      </w:pPr>
      <w:r w:rsidRPr="00537CF9">
        <w:t xml:space="preserve">site operational systems </w:t>
      </w:r>
    </w:p>
    <w:p w:rsidR="00000000" w:rsidRPr="00537CF9" w:rsidP="00537CF9">
      <w:pPr>
        <w:pStyle w:val="ListBullet2"/>
      </w:pPr>
      <w:r w:rsidRPr="00537CF9">
        <w:t>working in night and day conditions</w:t>
      </w:r>
    </w:p>
    <w:p w:rsidR="00000000" w:rsidRPr="00537CF9" w:rsidP="00537CF9">
      <w:pPr>
        <w:pStyle w:val="ListBullet2"/>
      </w:pPr>
      <w:r w:rsidRPr="00537CF9">
        <w:t xml:space="preserve">erecting signage and barricades </w:t>
      </w:r>
    </w:p>
    <w:p w:rsidR="00000000" w:rsidRPr="00537CF9" w:rsidP="00537CF9">
      <w:pPr>
        <w:pStyle w:val="ListBullet2"/>
      </w:pPr>
      <w:r w:rsidRPr="00537CF9">
        <w:t>working in wet and dry working conditions</w:t>
      </w:r>
    </w:p>
    <w:p w:rsidR="00000000" w:rsidRPr="00537CF9" w:rsidP="00537CF9">
      <w:pPr>
        <w:pStyle w:val="ListBullet2"/>
      </w:pPr>
      <w:r w:rsidRPr="00537CF9">
        <w:t>load positionin</w:t>
      </w:r>
      <w:r w:rsidRPr="00537CF9">
        <w:t>g</w:t>
      </w:r>
    </w:p>
    <w:p w:rsidR="00000000" w:rsidRPr="00537CF9" w:rsidP="00537CF9">
      <w:pPr>
        <w:pStyle w:val="ListBullet"/>
      </w:pPr>
      <w:r w:rsidRPr="00537CF9">
        <w:t>mass &amp; loading regulations</w:t>
      </w:r>
    </w:p>
    <w:p w:rsidR="00000000" w:rsidRPr="00537CF9" w:rsidP="00537CF9">
      <w:pPr>
        <w:pStyle w:val="ListBullet"/>
      </w:pPr>
      <w:r w:rsidRPr="00537CF9">
        <w:t>transport of dangerous goods and hazardous substances</w:t>
      </w:r>
    </w:p>
    <w:p w:rsidR="00000000" w:rsidRPr="00537CF9" w:rsidP="00537CF9">
      <w:pPr>
        <w:pStyle w:val="ListBullet"/>
      </w:pPr>
      <w:r w:rsidRPr="00537CF9">
        <w:t xml:space="preserve">equipment processes, technical capability and limitations </w:t>
      </w:r>
    </w:p>
    <w:p w:rsidR="00000000" w:rsidRPr="00537CF9" w:rsidP="00537CF9">
      <w:pPr>
        <w:pStyle w:val="ListBullet"/>
      </w:pPr>
      <w:r w:rsidRPr="00537CF9">
        <w:t>methods of preventing shifting of loads and their importance</w:t>
      </w:r>
    </w:p>
    <w:p w:rsidR="00000000" w:rsidRPr="00537CF9" w:rsidP="00537CF9">
      <w:pPr>
        <w:pStyle w:val="ListBullet"/>
      </w:pPr>
      <w:r w:rsidRPr="00537CF9">
        <w:t>number and types of lashings to apply, fixing points</w:t>
      </w:r>
      <w:r w:rsidRPr="00537CF9">
        <w:t xml:space="preserve"> and basic knots</w:t>
      </w:r>
    </w:p>
    <w:p w:rsidR="00000000" w:rsidRPr="00537CF9" w:rsidP="00537CF9">
      <w:pPr>
        <w:pStyle w:val="ListBullet"/>
      </w:pPr>
      <w:r w:rsidRPr="00537CF9">
        <w:t>licences and permits requirements for the use, transport and storage of LPG and LPG appliances</w:t>
      </w:r>
    </w:p>
    <w:p w:rsidR="00000000" w:rsidRPr="00537CF9" w:rsidP="00537CF9">
      <w:pPr>
        <w:pStyle w:val="AllowPageBreak"/>
      </w:pPr>
    </w:p>
    <w:p w:rsidR="00000000" w:rsidRPr="00537CF9" w:rsidP="00537CF9">
      <w:pPr>
        <w:pStyle w:val="Heading1"/>
      </w:pPr>
      <w:bookmarkStart w:id="4" w:name="O_688461"/>
      <w:bookmarkEnd w:id="4"/>
      <w:r w:rsidRPr="00537CF9">
        <w:t>Assessment Conditions</w:t>
      </w:r>
    </w:p>
    <w:p w:rsidR="00000000" w:rsidRPr="00537CF9" w:rsidP="00537CF9">
      <w:pPr>
        <w:pStyle w:val="ListBullet"/>
      </w:pPr>
      <w:r w:rsidRPr="00537CF9">
        <w:t xml:space="preserve">An assessor of this unit must satisfy the requirements of the NVR/AQTF or their successors; </w:t>
      </w:r>
      <w:r w:rsidRPr="00537CF9">
        <w:t xml:space="preserve">and Industry regulations for certification and licensing; and, </w:t>
      </w:r>
    </w:p>
    <w:p w:rsidR="00000000" w:rsidRPr="00537CF9" w:rsidP="00537CF9">
      <w:pPr>
        <w:pStyle w:val="ListBullet"/>
      </w:pPr>
      <w:r w:rsidRPr="00537CF9">
        <w:t>this unit must be assessed in the context of this sector’s work environment; and,</w:t>
      </w:r>
    </w:p>
    <w:p w:rsidR="00000000" w:rsidRPr="00537CF9" w:rsidP="00537CF9">
      <w:pPr>
        <w:pStyle w:val="ListBullet"/>
      </w:pPr>
      <w:r w:rsidRPr="00537CF9">
        <w:t xml:space="preserve">this unit must be assessed in compliance with relevant legislation/regulation and using policies, procedures, </w:t>
      </w:r>
      <w:r w:rsidRPr="00537CF9">
        <w:t>processes and operational manuals directly related to the industry sector for which it is being assessed; and,</w:t>
      </w:r>
    </w:p>
    <w:p w:rsidR="00000000" w:rsidRPr="00537CF9" w:rsidP="00537CF9">
      <w:pPr>
        <w:pStyle w:val="ListBullet"/>
      </w:pPr>
      <w:r w:rsidRPr="00537CF9">
        <w:t>assessment may be conducted in conjunction with the assessment of other Units of Competency; and,</w:t>
      </w:r>
    </w:p>
    <w:p w:rsidR="00000000" w:rsidRPr="00537CF9" w:rsidP="00537CF9">
      <w:pPr>
        <w:pStyle w:val="ListBullet"/>
      </w:pPr>
      <w:r w:rsidRPr="00537CF9">
        <w:t xml:space="preserve">assessment must confirm consistent performance </w:t>
      </w:r>
      <w:r w:rsidRPr="00537CF9">
        <w:t>can be applied in a range of relevant workplace circumstances; and,</w:t>
      </w:r>
    </w:p>
    <w:p w:rsidR="00000000" w:rsidRPr="00537CF9" w:rsidP="00537CF9">
      <w:pPr>
        <w:pStyle w:val="ListBullet"/>
      </w:pPr>
      <w:r w:rsidRPr="00537CF9">
        <w:t>assessors must demonstrate the performance evidence, and knowledge evidence as outlined in this Unit of Competency, and through the minimum years of current* work experience specified belo</w:t>
      </w:r>
      <w:r w:rsidRPr="00537CF9">
        <w:t>w in an Industry sector relevant to the outcomes of the unit; or,</w:t>
      </w:r>
    </w:p>
    <w:p w:rsidR="00000000" w:rsidRPr="00537CF9" w:rsidP="00537CF9">
      <w:pPr>
        <w:pStyle w:val="ListBullet"/>
      </w:pPr>
      <w:r w:rsidRPr="00537CF9">
        <w:t>where the assessor does not meet experience requirements a co-assessment or partnership arrangement must exist between the qualified assessor and an Industry subject matter expert. The Indus</w:t>
      </w:r>
      <w:r w:rsidRPr="00537CF9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537CF9">
        <w:t>f current work experience specified below in the Industry sector, including time spent in roles related to the unit being assessed; and,</w:t>
      </w:r>
    </w:p>
    <w:p w:rsidR="00000000" w:rsidRPr="00537CF9" w:rsidP="00537CF9">
      <w:pPr>
        <w:pStyle w:val="ListBullet"/>
      </w:pPr>
      <w:r w:rsidRPr="00537CF9">
        <w:t>assessor and Industry subject matter expert requirements differ depending on the Australian Qualifications Framework Le</w:t>
      </w:r>
      <w:r w:rsidRPr="00537CF9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37CF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Heading4"/>
              <w:rPr>
                <w:lang w:val="en-NZ"/>
              </w:rPr>
            </w:pPr>
            <w:r w:rsidRPr="00537CF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Heading4"/>
              <w:rPr>
                <w:lang w:val="en-NZ"/>
              </w:rPr>
            </w:pPr>
            <w:r w:rsidRPr="00537CF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Heading4"/>
              <w:rPr>
                <w:lang w:val="en-NZ"/>
              </w:rPr>
            </w:pPr>
            <w:r w:rsidRPr="00537CF9">
              <w:t>Required assessor or Industry subject matter expert experience</w:t>
            </w:r>
          </w:p>
        </w:tc>
      </w:tr>
      <w:tr w:rsidTr="00537CF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 xml:space="preserve">Drilling, Metalliferous Mining, Coal </w:t>
            </w:r>
            <w:r w:rsidRPr="00537CF9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1 Year</w:t>
            </w:r>
          </w:p>
        </w:tc>
      </w:tr>
      <w:tr w:rsidTr="00537CF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2 Years</w:t>
            </w:r>
          </w:p>
        </w:tc>
      </w:tr>
      <w:tr w:rsidTr="00537CF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3 Years</w:t>
            </w:r>
          </w:p>
        </w:tc>
      </w:tr>
      <w:tr w:rsidTr="00537CF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5 Years</w:t>
            </w:r>
          </w:p>
        </w:tc>
      </w:tr>
      <w:tr w:rsidTr="00537CF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7CF9">
            <w:pPr>
              <w:pStyle w:val="BodyText"/>
              <w:rPr>
                <w:lang w:val="en-NZ"/>
              </w:rPr>
            </w:pPr>
            <w:r w:rsidRPr="00537CF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7CF9" w:rsidP="00537CF9">
            <w:pPr>
              <w:pStyle w:val="BodyText"/>
            </w:pPr>
            <w:r w:rsidRPr="00537CF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37CF9">
              <w:t>ndard is specified should comply with any relevant regulation.</w:t>
            </w:r>
          </w:p>
        </w:tc>
      </w:tr>
    </w:tbl>
    <w:p w:rsidR="00000000" w:rsidRPr="00537CF9" w:rsidP="007B6D79">
      <w:pPr>
        <w:pStyle w:val="BodyText"/>
      </w:pPr>
      <w:r w:rsidRPr="00537CF9">
        <w:t>*Assessors can demonstrate current work experience through employment within Industry in a role relevant to the outcomes of the Unit; or, for external assessors this can be demonstrated throu</w:t>
      </w:r>
      <w:r w:rsidRPr="00537CF9">
        <w:t>gh exposure to Industry by conducting frequent site assessments across various locations.</w:t>
      </w:r>
    </w:p>
    <w:p w:rsidR="00000000" w:rsidRPr="00537CF9" w:rsidP="007B6D79">
      <w:pPr>
        <w:pStyle w:val="BodyText"/>
      </w:pPr>
      <w:r w:rsidRPr="00537CF9">
        <w:t>**Where a unit is being delivered outside of a Qualification the first numeric character in the Unit code should be considered to indicate the AQF level</w:t>
      </w:r>
    </w:p>
    <w:p w:rsidR="00000000" w:rsidRPr="00537CF9" w:rsidP="00537CF9">
      <w:pPr>
        <w:pStyle w:val="Heading1"/>
      </w:pPr>
      <w:bookmarkStart w:id="5" w:name="O_688472"/>
      <w:bookmarkEnd w:id="5"/>
      <w:r w:rsidRPr="00537CF9">
        <w:t>Links</w:t>
      </w:r>
    </w:p>
    <w:p w:rsidR="00000000" w:rsidRPr="00537CF9" w:rsidP="007B6D79">
      <w:pPr>
        <w:pStyle w:val="BodyText"/>
      </w:pPr>
      <w:r w:rsidRPr="00537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240E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37CF9" w:rsidP="00537CF9"/>
    <w:sectPr w:rsidSect="00537C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F9" w:rsidRPr="007B6D79" w:rsidP="007B6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79" w:rsidP="00537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D79" w:rsidP="00537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D79" w:rsidP="00537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CF9" w:rsidRPr="007B6D79" w:rsidP="007B6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79" w:rsidRPr="002D2AF8" w:rsidP="00537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RIINHB201D Load, secure and unload drilling equipment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B6D79" w:rsidP="00537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42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6A8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249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CF9"/>
  </w:style>
  <w:style w:type="character" w:customStyle="1" w:styleId="Heading1Char">
    <w:name w:val="Heading 1 Char"/>
    <w:basedOn w:val="DefaultParagraphFont"/>
    <w:link w:val="Heading1"/>
    <w:rsid w:val="00537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C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37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C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7C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7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CF9"/>
    <w:rPr>
      <w:b/>
      <w:spacing w:val="0"/>
    </w:rPr>
  </w:style>
  <w:style w:type="paragraph" w:customStyle="1" w:styleId="SuperTitle">
    <w:name w:val="SuperTitle"/>
    <w:basedOn w:val="Title"/>
    <w:rsid w:val="00537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CF9"/>
    <w:rPr>
      <w:i/>
    </w:rPr>
  </w:style>
  <w:style w:type="paragraph" w:styleId="Caption">
    <w:name w:val="caption"/>
    <w:basedOn w:val="BodyText"/>
    <w:next w:val="Normal"/>
    <w:qFormat/>
    <w:rsid w:val="00537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CF9"/>
  </w:style>
  <w:style w:type="paragraph" w:styleId="TableofFigures">
    <w:name w:val="table of figures"/>
    <w:basedOn w:val="Normal"/>
    <w:next w:val="Normal"/>
    <w:semiHidden/>
    <w:rsid w:val="00537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CF9"/>
    <w:rPr>
      <w:rFonts w:ascii="Wingdings" w:hAnsi="Wingdings"/>
    </w:rPr>
  </w:style>
  <w:style w:type="paragraph" w:customStyle="1" w:styleId="TableHeading">
    <w:name w:val="Table Heading"/>
    <w:basedOn w:val="HeadingBase"/>
    <w:rsid w:val="00537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CF9"/>
    <w:rPr>
      <w:color w:val="0033CC"/>
      <w:u w:val="none"/>
    </w:rPr>
  </w:style>
  <w:style w:type="paragraph" w:customStyle="1" w:styleId="BodyTextRight">
    <w:name w:val="Body Text Right"/>
    <w:basedOn w:val="BodyText"/>
    <w:rsid w:val="00537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CF9"/>
    <w:rPr>
      <w:sz w:val="32"/>
    </w:rPr>
  </w:style>
  <w:style w:type="paragraph" w:customStyle="1" w:styleId="HeadingProcedure">
    <w:name w:val="Heading Procedure"/>
    <w:basedOn w:val="HeadingBase"/>
    <w:next w:val="Normal"/>
    <w:rsid w:val="00537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CF9"/>
    <w:pPr>
      <w:spacing w:before="60" w:after="60"/>
    </w:pPr>
  </w:style>
  <w:style w:type="paragraph" w:styleId="ListContinue">
    <w:name w:val="List Continue"/>
    <w:basedOn w:val="List"/>
    <w:rsid w:val="00537CF9"/>
    <w:pPr>
      <w:ind w:firstLine="0"/>
    </w:pPr>
  </w:style>
  <w:style w:type="paragraph" w:customStyle="1" w:styleId="ListNote">
    <w:name w:val="List Note"/>
    <w:basedOn w:val="List"/>
    <w:rsid w:val="00537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CF9"/>
    <w:rPr>
      <w:rFonts w:ascii="Courier New" w:hAnsi="Courier New"/>
    </w:rPr>
  </w:style>
  <w:style w:type="paragraph" w:customStyle="1" w:styleId="NoteBullet">
    <w:name w:val="Note Bullet"/>
    <w:basedOn w:val="Note"/>
    <w:rsid w:val="00537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CF9"/>
    <w:rPr>
      <w:b/>
      <w:smallCaps/>
    </w:rPr>
  </w:style>
  <w:style w:type="paragraph" w:customStyle="1" w:styleId="TableListNumber">
    <w:name w:val="Table List Number"/>
    <w:basedOn w:val="ListNumber"/>
    <w:rsid w:val="00537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CF9"/>
    <w:pPr>
      <w:numPr>
        <w:numId w:val="9"/>
      </w:numPr>
    </w:pPr>
  </w:style>
  <w:style w:type="paragraph" w:customStyle="1" w:styleId="ListAlpha2">
    <w:name w:val="List Alpha 2"/>
    <w:basedOn w:val="List2"/>
    <w:rsid w:val="00537CF9"/>
    <w:pPr>
      <w:numPr>
        <w:numId w:val="8"/>
      </w:numPr>
    </w:pPr>
  </w:style>
  <w:style w:type="paragraph" w:styleId="List2">
    <w:name w:val="List 2"/>
    <w:basedOn w:val="BodyText"/>
    <w:rsid w:val="00537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CF9"/>
    <w:pPr>
      <w:numPr>
        <w:numId w:val="4"/>
      </w:numPr>
    </w:pPr>
  </w:style>
  <w:style w:type="paragraph" w:styleId="ListContinue2">
    <w:name w:val="List Continue 2"/>
    <w:basedOn w:val="List2"/>
    <w:rsid w:val="00537CF9"/>
    <w:pPr>
      <w:ind w:firstLine="0"/>
    </w:pPr>
  </w:style>
  <w:style w:type="paragraph" w:styleId="ListContinue3">
    <w:name w:val="List Continue 3"/>
    <w:basedOn w:val="List3"/>
    <w:rsid w:val="00537CF9"/>
    <w:pPr>
      <w:ind w:left="1021" w:firstLine="0"/>
    </w:pPr>
  </w:style>
  <w:style w:type="paragraph" w:styleId="ListContinue4">
    <w:name w:val="List Continue 4"/>
    <w:basedOn w:val="List4"/>
    <w:rsid w:val="00537CF9"/>
    <w:pPr>
      <w:ind w:firstLine="0"/>
    </w:pPr>
  </w:style>
  <w:style w:type="paragraph" w:styleId="ListContinue5">
    <w:name w:val="List Continue 5"/>
    <w:basedOn w:val="List5"/>
    <w:rsid w:val="00537CF9"/>
    <w:pPr>
      <w:ind w:firstLine="0"/>
    </w:pPr>
  </w:style>
  <w:style w:type="paragraph" w:styleId="ListNumber3">
    <w:name w:val="List Number 3"/>
    <w:basedOn w:val="List3"/>
    <w:rsid w:val="00537CF9"/>
    <w:pPr>
      <w:numPr>
        <w:numId w:val="5"/>
      </w:numPr>
    </w:pPr>
  </w:style>
  <w:style w:type="paragraph" w:styleId="ListNumber4">
    <w:name w:val="List Number 4"/>
    <w:basedOn w:val="List4"/>
    <w:rsid w:val="00537CF9"/>
    <w:pPr>
      <w:numPr>
        <w:numId w:val="6"/>
      </w:numPr>
    </w:pPr>
  </w:style>
  <w:style w:type="paragraph" w:styleId="ListNumber5">
    <w:name w:val="List Number 5"/>
    <w:basedOn w:val="List5"/>
    <w:rsid w:val="00537CF9"/>
    <w:pPr>
      <w:numPr>
        <w:numId w:val="7"/>
      </w:numPr>
    </w:pPr>
  </w:style>
  <w:style w:type="paragraph" w:styleId="BlockText">
    <w:name w:val="Block Text"/>
    <w:basedOn w:val="Normal"/>
    <w:rsid w:val="00537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CF9"/>
    <w:rPr>
      <w:sz w:val="16"/>
      <w:vertAlign w:val="superscript"/>
    </w:rPr>
  </w:style>
  <w:style w:type="character" w:customStyle="1" w:styleId="Symbols">
    <w:name w:val="Symbols"/>
    <w:basedOn w:val="DefaultParagraphFont"/>
    <w:rsid w:val="00537CF9"/>
    <w:rPr>
      <w:rFonts w:ascii="Symbol" w:hAnsi="Symbol"/>
    </w:rPr>
  </w:style>
  <w:style w:type="character" w:customStyle="1" w:styleId="MenuOptions">
    <w:name w:val="Menu Options"/>
    <w:basedOn w:val="DefaultParagraphFont"/>
    <w:rsid w:val="00537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CF9"/>
    <w:rPr>
      <w:b/>
    </w:rPr>
  </w:style>
  <w:style w:type="character" w:customStyle="1" w:styleId="Underlined">
    <w:name w:val="Underlined"/>
    <w:basedOn w:val="DefaultParagraphFont"/>
    <w:rsid w:val="00537CF9"/>
    <w:rPr>
      <w:u w:val="single"/>
    </w:rPr>
  </w:style>
  <w:style w:type="paragraph" w:customStyle="1" w:styleId="TableBodyTextRight">
    <w:name w:val="Table Body Text Right"/>
    <w:basedOn w:val="TableBodyText"/>
    <w:rsid w:val="00537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CF9"/>
    <w:rPr>
      <w:sz w:val="18"/>
    </w:rPr>
  </w:style>
  <w:style w:type="paragraph" w:customStyle="1" w:styleId="BodySmallRight">
    <w:name w:val="Body Small Right"/>
    <w:basedOn w:val="BodyTextRight"/>
    <w:rsid w:val="00537CF9"/>
    <w:rPr>
      <w:sz w:val="18"/>
      <w:szCs w:val="18"/>
    </w:rPr>
  </w:style>
  <w:style w:type="paragraph" w:customStyle="1" w:styleId="MarginEdition">
    <w:name w:val="Margin Edition"/>
    <w:basedOn w:val="MarginNote"/>
    <w:rsid w:val="00537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CF9"/>
    <w:rPr>
      <w:sz w:val="2"/>
      <w:szCs w:val="2"/>
    </w:rPr>
  </w:style>
  <w:style w:type="character" w:customStyle="1" w:styleId="Small">
    <w:name w:val="Small"/>
    <w:basedOn w:val="DefaultParagraphFont"/>
    <w:rsid w:val="00537CF9"/>
    <w:rPr>
      <w:sz w:val="16"/>
    </w:rPr>
  </w:style>
  <w:style w:type="paragraph" w:customStyle="1" w:styleId="WideTable">
    <w:name w:val="Wide Table"/>
    <w:basedOn w:val="Normal"/>
    <w:rsid w:val="00537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CF9"/>
  </w:style>
  <w:style w:type="paragraph" w:styleId="Quote">
    <w:name w:val="Quote"/>
    <w:basedOn w:val="Heading1"/>
    <w:link w:val="QuoteChar"/>
    <w:qFormat/>
    <w:rsid w:val="00537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CF9"/>
    <w:pPr>
      <w:pageBreakBefore/>
    </w:pPr>
  </w:style>
  <w:style w:type="paragraph" w:customStyle="1" w:styleId="Border">
    <w:name w:val="Border"/>
    <w:basedOn w:val="Normal"/>
    <w:qFormat/>
    <w:rsid w:val="00537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CF9"/>
    <w:rPr>
      <w:u w:val="single"/>
    </w:rPr>
  </w:style>
  <w:style w:type="character" w:customStyle="1" w:styleId="BoldandItalics">
    <w:name w:val="Bold and Italics"/>
    <w:qFormat/>
    <w:rsid w:val="00537CF9"/>
    <w:rPr>
      <w:b/>
      <w:i/>
      <w:u w:val="none"/>
    </w:rPr>
  </w:style>
  <w:style w:type="paragraph" w:styleId="BalloonText">
    <w:name w:val="Balloon Text"/>
    <w:basedOn w:val="Normal"/>
    <w:link w:val="BalloonTextChar"/>
    <w:rsid w:val="00537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CF9"/>
    <w:pPr>
      <w:spacing w:before="0" w:after="0"/>
    </w:pPr>
  </w:style>
  <w:style w:type="paragraph" w:customStyle="1" w:styleId="BodyTextBold">
    <w:name w:val="Body Text Bold"/>
    <w:basedOn w:val="BodyText"/>
    <w:qFormat/>
    <w:rsid w:val="00537CF9"/>
    <w:rPr>
      <w:b/>
    </w:rPr>
  </w:style>
  <w:style w:type="character" w:styleId="Hyperlink">
    <w:name w:val="Hyperlink"/>
    <w:basedOn w:val="DefaultParagraphFont"/>
    <w:uiPriority w:val="99"/>
    <w:unhideWhenUsed/>
    <w:rsid w:val="007B6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5311</Characters>
  <Application>Microsoft Office Word</Application>
  <DocSecurity>0</DocSecurity>
  <Lines>143</Lines>
  <Paragraphs>92</Paragraphs>
  <ScaleCrop>false</ScaleCrop>
  <Company>Author-it Software Corporation Ltd.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RIINHB201D Load, secure and unload drilling equipment and materials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2020-07-08T07:03:00Z</dcterms:created>
  <dcterms:modified xsi:type="dcterms:W3CDTF">2020-07-08T07:03:00Z</dcterms:modified>
</cp:coreProperties>
</file>