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C15" w:rsidP="000D7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RIIMSM305D Conduct materials extraction operations underground</w:t>
      </w:r>
      <w:r>
        <w:fldChar w:fldCharType="end"/>
      </w:r>
    </w:p>
    <w:p w:rsidR="000D7C15" w:rsidP="000D7C15">
      <w:pPr>
        <w:pStyle w:val="Version"/>
        <w:sectPr w:rsidSect="00954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45B4" w:rsidP="009545B4">
      <w:pPr>
        <w:pStyle w:val="SuperHeading"/>
      </w:pPr>
      <w:r w:rsidRPr="009545B4">
        <w:t>Assessment Requirements for RIIMSM305D Conduct materials extraction operations underground</w:t>
      </w:r>
    </w:p>
    <w:p w:rsidR="00000000" w:rsidRPr="009545B4" w:rsidP="009545B4">
      <w:pPr>
        <w:pStyle w:val="Heading1"/>
      </w:pPr>
      <w:bookmarkStart w:id="1" w:name="O_692201"/>
      <w:bookmarkEnd w:id="1"/>
      <w:r w:rsidRPr="009545B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D7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B4">
            <w:pPr>
              <w:pStyle w:val="Heading4"/>
              <w:rPr>
                <w:lang w:val="en-NZ"/>
              </w:rPr>
            </w:pPr>
            <w:r w:rsidRPr="009545B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B4">
            <w:pPr>
              <w:pStyle w:val="Heading4"/>
              <w:rPr>
                <w:lang w:val="en-NZ"/>
              </w:rPr>
            </w:pPr>
            <w:r w:rsidRPr="009545B4">
              <w:t>Comment</w:t>
            </w:r>
          </w:p>
        </w:tc>
      </w:tr>
      <w:tr w:rsidTr="000D7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This unit replaces RIIMSM305A Conduct materials extraction operations underground</w:t>
            </w:r>
          </w:p>
        </w:tc>
      </w:tr>
      <w:tr w:rsidTr="000D7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B4" w:rsidP="009545B4">
            <w:pPr>
              <w:pStyle w:val="BodyText"/>
            </w:pPr>
            <w:r w:rsidRPr="009545B4">
              <w:t>Required frequency and volume of evidence amended in Performance evidence.</w:t>
            </w:r>
          </w:p>
          <w:p w:rsidR="00000000" w:rsidRPr="009545B4" w:rsidP="009545B4">
            <w:pPr>
              <w:pStyle w:val="BodyText"/>
            </w:pPr>
            <w:r w:rsidRPr="009545B4">
              <w:t>Substantial amendments made in Assessment Conditions field, including: references to Industry Sectors, assessor and subject matter expert experience requirements, how assessment sho</w:t>
            </w:r>
            <w:r w:rsidRPr="009545B4">
              <w:t>uld be conducted and what it should confirm.</w:t>
            </w:r>
          </w:p>
        </w:tc>
      </w:tr>
    </w:tbl>
    <w:p w:rsidR="00000000" w:rsidRPr="009545B4" w:rsidP="009545B4">
      <w:pPr>
        <w:pStyle w:val="BodyText"/>
      </w:pPr>
    </w:p>
    <w:p w:rsidR="00000000" w:rsidRPr="009545B4" w:rsidP="009545B4">
      <w:pPr>
        <w:pStyle w:val="AllowPageBreak"/>
      </w:pPr>
    </w:p>
    <w:p w:rsidR="00000000" w:rsidRPr="009545B4" w:rsidP="009545B4">
      <w:pPr>
        <w:pStyle w:val="Heading1"/>
      </w:pPr>
      <w:bookmarkStart w:id="2" w:name="O_692200"/>
      <w:bookmarkEnd w:id="2"/>
      <w:r w:rsidRPr="009545B4">
        <w:t>Performance Evidence</w:t>
      </w:r>
    </w:p>
    <w:p w:rsidR="00000000" w:rsidRPr="009545B4" w:rsidP="000D7C15">
      <w:pPr>
        <w:pStyle w:val="BodyText"/>
      </w:pPr>
      <w:r w:rsidRPr="009545B4">
        <w:t>Evidence is required to be collected that demonstrates a candidate’s competency in this unit. Evidence must be relevant to the roles within this sector’s work operations a</w:t>
      </w:r>
      <w:r w:rsidRPr="009545B4">
        <w:t>nd satisfy all of the requirements of the performance criteria of this unit and include evidence that the candidate:</w:t>
      </w:r>
    </w:p>
    <w:p w:rsidR="00000000" w:rsidRPr="009545B4" w:rsidP="009545B4">
      <w:pPr>
        <w:pStyle w:val="ListBullet"/>
      </w:pPr>
      <w:r w:rsidRPr="009545B4">
        <w:t>locates and applies applicable legislation, documentation, policies and procedures</w:t>
      </w:r>
    </w:p>
    <w:p w:rsidR="00000000" w:rsidRPr="009545B4" w:rsidP="009545B4">
      <w:pPr>
        <w:pStyle w:val="ListBullet"/>
      </w:pPr>
      <w:r w:rsidRPr="009545B4">
        <w:t>implements the requirements, procedures and techniques for the safe, effective and efficient completion of underground materials extraction operations including:</w:t>
      </w:r>
    </w:p>
    <w:p w:rsidR="00000000" w:rsidRPr="009545B4" w:rsidP="009545B4">
      <w:pPr>
        <w:pStyle w:val="ListBullet2"/>
      </w:pPr>
      <w:r w:rsidRPr="009545B4">
        <w:t>selecting and using relevant tools &amp; equipment</w:t>
      </w:r>
    </w:p>
    <w:p w:rsidR="00000000" w:rsidRPr="009545B4" w:rsidP="009545B4">
      <w:pPr>
        <w:pStyle w:val="ListBullet2"/>
      </w:pPr>
      <w:r w:rsidRPr="009545B4">
        <w:t>accessing, interpreting and applying manufactu</w:t>
      </w:r>
      <w:r w:rsidRPr="009545B4">
        <w:t>rer’s/supplier’s manuals</w:t>
      </w:r>
    </w:p>
    <w:p w:rsidR="00000000" w:rsidRPr="009545B4" w:rsidP="009545B4">
      <w:pPr>
        <w:pStyle w:val="ListBullet2"/>
      </w:pPr>
      <w:r w:rsidRPr="009545B4">
        <w:t>applying diagnostic and fault finding techniques</w:t>
      </w:r>
    </w:p>
    <w:p w:rsidR="00000000" w:rsidRPr="009545B4" w:rsidP="009545B4">
      <w:pPr>
        <w:pStyle w:val="ListBullet2"/>
      </w:pPr>
      <w:r w:rsidRPr="009545B4">
        <w:t>maintaining equipment records</w:t>
      </w:r>
    </w:p>
    <w:p w:rsidR="00000000" w:rsidRPr="009545B4" w:rsidP="009545B4">
      <w:pPr>
        <w:pStyle w:val="ListBullet"/>
      </w:pPr>
      <w:r w:rsidRPr="009545B4">
        <w:t>works effectively with others to undertake and complete the conduct of underground materials extraction operations that meets all of the required outco</w:t>
      </w:r>
      <w:r w:rsidRPr="009545B4">
        <w:t>mes including:</w:t>
      </w:r>
    </w:p>
    <w:p w:rsidR="00000000" w:rsidRPr="009545B4" w:rsidP="009545B4">
      <w:pPr>
        <w:pStyle w:val="ListBullet2"/>
      </w:pPr>
      <w:r w:rsidRPr="009545B4">
        <w:t>communicating clearly and concisely with others to confirm instructions</w:t>
      </w:r>
    </w:p>
    <w:p w:rsidR="00000000" w:rsidRPr="009545B4" w:rsidP="009545B4">
      <w:pPr>
        <w:pStyle w:val="ListBullet2"/>
      </w:pPr>
      <w:r w:rsidRPr="009545B4">
        <w:t>organising and prioritising work activities</w:t>
      </w:r>
    </w:p>
    <w:p w:rsidR="00000000" w:rsidRPr="009545B4" w:rsidP="009545B4">
      <w:pPr>
        <w:pStyle w:val="ListBullet"/>
      </w:pPr>
      <w:r w:rsidRPr="009545B4">
        <w:t xml:space="preserve">demonstrates completion of conducting materials extraction operations underground that safely, effectively and efficiently </w:t>
      </w:r>
      <w:r w:rsidRPr="009545B4">
        <w:t>meets all of the required outcomes on more than one (1) occasion including:</w:t>
      </w:r>
    </w:p>
    <w:p w:rsidR="00000000" w:rsidRPr="009545B4" w:rsidP="009545B4">
      <w:pPr>
        <w:pStyle w:val="ListBullet2"/>
      </w:pPr>
      <w:r w:rsidRPr="009545B4">
        <w:t>driving and manoeuvring machinery to extraction location</w:t>
      </w:r>
    </w:p>
    <w:p w:rsidR="00000000" w:rsidRPr="009545B4" w:rsidP="009545B4">
      <w:pPr>
        <w:pStyle w:val="ListBullet2"/>
      </w:pPr>
      <w:r w:rsidRPr="009545B4">
        <w:t>operating machinery and equipment to extract and load materials</w:t>
      </w:r>
    </w:p>
    <w:p w:rsidR="00000000" w:rsidRPr="009545B4" w:rsidP="009545B4">
      <w:pPr>
        <w:pStyle w:val="ListBullet2"/>
      </w:pPr>
      <w:r w:rsidRPr="009545B4">
        <w:t xml:space="preserve">cutting drives and faces to planned sequence and the mine </w:t>
      </w:r>
      <w:r w:rsidRPr="009545B4">
        <w:t>work plan</w:t>
      </w:r>
    </w:p>
    <w:p w:rsidR="00000000" w:rsidRPr="009545B4" w:rsidP="009545B4">
      <w:pPr>
        <w:pStyle w:val="ListBullet2"/>
      </w:pPr>
      <w:r w:rsidRPr="009545B4">
        <w:t>carrying out basic operator maintenance</w:t>
      </w:r>
    </w:p>
    <w:p w:rsidR="00000000" w:rsidRPr="009545B4" w:rsidP="009545B4">
      <w:pPr>
        <w:pStyle w:val="AllowPageBreak"/>
      </w:pPr>
    </w:p>
    <w:p w:rsidR="00000000" w:rsidRPr="009545B4" w:rsidP="009545B4">
      <w:pPr>
        <w:pStyle w:val="Heading1"/>
      </w:pPr>
      <w:bookmarkStart w:id="3" w:name="O_692199"/>
      <w:bookmarkEnd w:id="3"/>
      <w:r w:rsidRPr="009545B4">
        <w:t>Knowledge Evidence</w:t>
      </w:r>
    </w:p>
    <w:p w:rsidR="00000000" w:rsidRPr="009545B4" w:rsidP="000D7C15">
      <w:pPr>
        <w:pStyle w:val="BodyText"/>
      </w:pPr>
      <w:r w:rsidRPr="009545B4">
        <w:t>The candidate must demonstrate knowledge in conducting materials extraction operations underground through:</w:t>
      </w:r>
    </w:p>
    <w:p w:rsidR="00000000" w:rsidRPr="009545B4" w:rsidP="009545B4">
      <w:pPr>
        <w:pStyle w:val="ListBullet"/>
      </w:pPr>
      <w:r w:rsidRPr="009545B4">
        <w:t>accessing, interpreting and applying the organization and site requirements and procedures for:</w:t>
      </w:r>
    </w:p>
    <w:p w:rsidR="00000000" w:rsidRPr="009545B4" w:rsidP="009545B4">
      <w:pPr>
        <w:pStyle w:val="ListBullet2"/>
      </w:pPr>
      <w:r w:rsidRPr="009545B4">
        <w:t>working underground and equipment operation</w:t>
      </w:r>
    </w:p>
    <w:p w:rsidR="00000000" w:rsidRPr="009545B4" w:rsidP="009545B4">
      <w:pPr>
        <w:pStyle w:val="ListBullet2"/>
      </w:pPr>
      <w:r w:rsidRPr="009545B4">
        <w:t>emergency response</w:t>
      </w:r>
    </w:p>
    <w:p w:rsidR="00000000" w:rsidRPr="009545B4" w:rsidP="009545B4">
      <w:pPr>
        <w:pStyle w:val="ListBullet2"/>
      </w:pPr>
      <w:r w:rsidRPr="009545B4">
        <w:t>pillar extraction methods and safety requirements</w:t>
      </w:r>
    </w:p>
    <w:p w:rsidR="00000000" w:rsidRPr="009545B4" w:rsidP="009545B4">
      <w:pPr>
        <w:pStyle w:val="ListBullet2"/>
      </w:pPr>
      <w:r w:rsidRPr="009545B4">
        <w:t>hazardous materials handling</w:t>
      </w:r>
    </w:p>
    <w:p w:rsidR="00000000" w:rsidRPr="009545B4" w:rsidP="009545B4">
      <w:pPr>
        <w:pStyle w:val="ListBullet2"/>
      </w:pPr>
      <w:r w:rsidRPr="009545B4">
        <w:t>environmental iss</w:t>
      </w:r>
      <w:r w:rsidRPr="009545B4">
        <w:t>ues</w:t>
      </w:r>
    </w:p>
    <w:p w:rsidR="00000000" w:rsidRPr="009545B4" w:rsidP="009545B4">
      <w:pPr>
        <w:pStyle w:val="ListBullet2"/>
      </w:pPr>
      <w:r w:rsidRPr="009545B4">
        <w:t>operating hoisting systems</w:t>
      </w:r>
    </w:p>
    <w:p w:rsidR="00000000" w:rsidRPr="009545B4" w:rsidP="009545B4">
      <w:pPr>
        <w:pStyle w:val="ListBullet2"/>
      </w:pPr>
      <w:r w:rsidRPr="009545B4">
        <w:t>assessment of mine ground conditions</w:t>
      </w:r>
    </w:p>
    <w:p w:rsidR="00000000" w:rsidRPr="009545B4" w:rsidP="009545B4">
      <w:pPr>
        <w:pStyle w:val="ListBullet2"/>
      </w:pPr>
      <w:r w:rsidRPr="009545B4">
        <w:t>machinery and equipment operation and maintenance</w:t>
      </w:r>
    </w:p>
    <w:p w:rsidR="00000000" w:rsidRPr="009545B4" w:rsidP="009545B4">
      <w:pPr>
        <w:pStyle w:val="ListBullet"/>
      </w:pPr>
      <w:r w:rsidRPr="009545B4">
        <w:t>accessing, interpreting and applying machinery and equipment characteristics, technical capabilities and limitations</w:t>
      </w:r>
    </w:p>
    <w:p w:rsidR="00000000" w:rsidRPr="009545B4" w:rsidP="009545B4">
      <w:pPr>
        <w:pStyle w:val="ListBullet"/>
      </w:pPr>
      <w:r w:rsidRPr="009545B4">
        <w:t>accessing, interpret</w:t>
      </w:r>
      <w:r w:rsidRPr="009545B4">
        <w:t>ing and applying mine geology and survey data associated with ore-bearing ground</w:t>
      </w:r>
    </w:p>
    <w:p w:rsidR="00000000" w:rsidRPr="009545B4" w:rsidP="009545B4">
      <w:pPr>
        <w:pStyle w:val="ListBullet"/>
      </w:pPr>
      <w:r w:rsidRPr="009545B4">
        <w:t>identifying ventilation systems</w:t>
      </w:r>
    </w:p>
    <w:p w:rsidR="00000000" w:rsidRPr="009545B4" w:rsidP="009545B4">
      <w:pPr>
        <w:pStyle w:val="ListBullet"/>
      </w:pPr>
      <w:r w:rsidRPr="009545B4">
        <w:t>accessing, interpreting and applying site environmental requirements and constraints relevant to machinery and equipment operations</w:t>
      </w:r>
    </w:p>
    <w:p w:rsidR="00000000" w:rsidRPr="009545B4" w:rsidP="009545B4">
      <w:pPr>
        <w:pStyle w:val="ListBullet"/>
      </w:pPr>
      <w:r w:rsidRPr="009545B4">
        <w:t>identifying pillar configuration, design and layout</w:t>
      </w:r>
    </w:p>
    <w:p w:rsidR="00000000" w:rsidRPr="009545B4" w:rsidP="009545B4">
      <w:pPr>
        <w:pStyle w:val="ListBullet"/>
      </w:pPr>
      <w:r w:rsidRPr="009545B4">
        <w:t>identifying characteristics and properties of roofs and walls</w:t>
      </w:r>
    </w:p>
    <w:p w:rsidR="00000000" w:rsidRPr="009545B4" w:rsidP="009545B4">
      <w:pPr>
        <w:pStyle w:val="ListBullet"/>
      </w:pPr>
      <w:r w:rsidRPr="009545B4">
        <w:t>being prepared for fire/accident/emergency</w:t>
      </w:r>
    </w:p>
    <w:p w:rsidR="00000000" w:rsidRPr="009545B4" w:rsidP="009545B4">
      <w:pPr>
        <w:pStyle w:val="AllowPageBreak"/>
      </w:pPr>
    </w:p>
    <w:p w:rsidR="00000000" w:rsidRPr="009545B4" w:rsidP="009545B4">
      <w:pPr>
        <w:pStyle w:val="Heading1"/>
      </w:pPr>
      <w:bookmarkStart w:id="4" w:name="O_692198"/>
      <w:bookmarkEnd w:id="4"/>
      <w:r w:rsidRPr="009545B4">
        <w:t>Assessment Conditions</w:t>
      </w:r>
    </w:p>
    <w:p w:rsidR="00000000" w:rsidRPr="009545B4" w:rsidP="009545B4">
      <w:pPr>
        <w:pStyle w:val="ListBullet"/>
      </w:pPr>
      <w:r w:rsidRPr="009545B4">
        <w:t>An assessor of this unit must satisfy the requirements of t</w:t>
      </w:r>
      <w:r w:rsidRPr="009545B4">
        <w:t xml:space="preserve">he NVR/AQTF or their successors; and Industry regulations for certification and licensing; and, </w:t>
      </w:r>
    </w:p>
    <w:p w:rsidR="00000000" w:rsidRPr="009545B4" w:rsidP="009545B4">
      <w:pPr>
        <w:pStyle w:val="ListBullet"/>
      </w:pPr>
      <w:r w:rsidRPr="009545B4">
        <w:t>this unit must be assessed in the context of this sector’s work environment; and,</w:t>
      </w:r>
    </w:p>
    <w:p w:rsidR="00000000" w:rsidRPr="009545B4" w:rsidP="009545B4">
      <w:pPr>
        <w:pStyle w:val="ListBullet"/>
      </w:pPr>
      <w:r w:rsidRPr="009545B4">
        <w:t>this unit must be assessed in compliance with relevant legislation/regulation</w:t>
      </w:r>
      <w:r w:rsidRPr="009545B4">
        <w:t xml:space="preserve"> and using policies, procedures, processes and operational manuals directly related to the industry sector for which it is being assessed; and,</w:t>
      </w:r>
    </w:p>
    <w:p w:rsidR="00000000" w:rsidRPr="009545B4" w:rsidP="009545B4">
      <w:pPr>
        <w:pStyle w:val="ListBullet"/>
      </w:pPr>
      <w:r w:rsidRPr="009545B4">
        <w:t>assessment may be conducted in conjunction with the assessment of other Units of Competency; and,</w:t>
      </w:r>
    </w:p>
    <w:p w:rsidR="00000000" w:rsidRPr="009545B4" w:rsidP="009545B4">
      <w:pPr>
        <w:pStyle w:val="ListBullet"/>
      </w:pPr>
      <w:r w:rsidRPr="009545B4">
        <w:t>assessment mus</w:t>
      </w:r>
      <w:r w:rsidRPr="009545B4">
        <w:t>t confirm consistent performance can be applied in a range of relevant workplace circumstances; and,</w:t>
      </w:r>
    </w:p>
    <w:p w:rsidR="00000000" w:rsidRPr="009545B4" w:rsidP="009545B4">
      <w:pPr>
        <w:pStyle w:val="ListBullet"/>
      </w:pPr>
      <w:r w:rsidRPr="009545B4">
        <w:t>assessors must demonstrate the performance evidence, and knowledge evidence as outlined in this Unit of Competency, and through the minimum years of curren</w:t>
      </w:r>
      <w:r w:rsidRPr="009545B4">
        <w:t>t* work experience specified below in an Industry sector relevant to the outcomes of the unit; or,</w:t>
      </w:r>
    </w:p>
    <w:p w:rsidR="00000000" w:rsidRPr="009545B4" w:rsidP="009545B4">
      <w:pPr>
        <w:pStyle w:val="ListBullet"/>
      </w:pPr>
      <w:r w:rsidRPr="009545B4">
        <w:t>where the assessor does not meet experience requirements a co-assessment or partnership arrangement must exist between the qualified assessor and an Industry</w:t>
      </w:r>
      <w:r w:rsidRPr="009545B4">
        <w:t xml:space="preserve"> subject matter expert. The Industry subject matter expert should hold the unit being assessed (or an equivalent unit) and/or demonstrate equivalence of skills and knowledge at the unit level. An Industry technical expert must also demonstrate skills and k</w:t>
      </w:r>
      <w:r w:rsidRPr="009545B4">
        <w:t>nowledge from the minimum years of current work experience specified below in the Industry sector, including time spent in roles related to the unit being assessed; and,</w:t>
      </w:r>
    </w:p>
    <w:p w:rsidR="00000000" w:rsidRPr="009545B4" w:rsidP="009545B4">
      <w:pPr>
        <w:pStyle w:val="ListBullet"/>
      </w:pPr>
      <w:r w:rsidRPr="009545B4">
        <w:t>assessor and Industry subject matter expert requirements differ depending on the Austr</w:t>
      </w:r>
      <w:r w:rsidRPr="009545B4">
        <w:t>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545B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Heading4"/>
              <w:rPr>
                <w:lang w:val="en-NZ"/>
              </w:rPr>
            </w:pPr>
            <w:r w:rsidRPr="009545B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Heading4"/>
              <w:rPr>
                <w:lang w:val="en-NZ"/>
              </w:rPr>
            </w:pPr>
            <w:r w:rsidRPr="009545B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Heading4"/>
              <w:rPr>
                <w:lang w:val="en-NZ"/>
              </w:rPr>
            </w:pPr>
            <w:r w:rsidRPr="009545B4">
              <w:t>Required assessor or Industry subject matter expert experience</w:t>
            </w:r>
          </w:p>
        </w:tc>
      </w:tr>
      <w:tr w:rsidTr="009545B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D</w:t>
            </w:r>
            <w:r w:rsidRPr="009545B4">
              <w:t>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1 Year</w:t>
            </w:r>
          </w:p>
        </w:tc>
      </w:tr>
      <w:tr w:rsidTr="009545B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2 Years</w:t>
            </w:r>
          </w:p>
        </w:tc>
      </w:tr>
      <w:tr w:rsidTr="009545B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3 Years</w:t>
            </w:r>
          </w:p>
        </w:tc>
      </w:tr>
      <w:tr w:rsidTr="009545B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5 Years</w:t>
            </w:r>
          </w:p>
        </w:tc>
      </w:tr>
      <w:tr w:rsidTr="009545B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45B4">
            <w:pPr>
              <w:pStyle w:val="BodyText"/>
              <w:rPr>
                <w:lang w:val="en-NZ"/>
              </w:rPr>
            </w:pPr>
            <w:r w:rsidRPr="009545B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45B4" w:rsidP="009545B4">
            <w:pPr>
              <w:pStyle w:val="BodyText"/>
            </w:pPr>
            <w:r w:rsidRPr="009545B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545B4">
              <w:t>ndard is specified should comply with any relevant regulation.</w:t>
            </w:r>
          </w:p>
        </w:tc>
      </w:tr>
    </w:tbl>
    <w:p w:rsidR="00000000" w:rsidRPr="009545B4" w:rsidP="000D7C15">
      <w:pPr>
        <w:pStyle w:val="BodyText"/>
      </w:pPr>
      <w:r w:rsidRPr="009545B4">
        <w:t>*Assessors can demonstrate current work experience through employment within Industry in a role relevant to the outcomes of the Unit; or, for external assessors this can be demonstrated throu</w:t>
      </w:r>
      <w:r w:rsidRPr="009545B4">
        <w:t>gh exposure to Industry by conducting frequent site assessments across various locations.</w:t>
      </w:r>
    </w:p>
    <w:p w:rsidR="00000000" w:rsidRPr="009545B4" w:rsidP="000D7C15">
      <w:pPr>
        <w:pStyle w:val="BodyText"/>
      </w:pPr>
      <w:r w:rsidRPr="009545B4">
        <w:t>**Where a unit is being delivered outside of a Qualification the first numeric character in the Unit code should be considered to indicate the AQF level</w:t>
      </w:r>
    </w:p>
    <w:p w:rsidR="00000000" w:rsidRPr="009545B4" w:rsidP="009545B4">
      <w:pPr>
        <w:pStyle w:val="Heading1"/>
      </w:pPr>
      <w:bookmarkStart w:id="5" w:name="O_692210"/>
      <w:bookmarkEnd w:id="5"/>
      <w:r w:rsidRPr="009545B4">
        <w:t>Links</w:t>
      </w:r>
    </w:p>
    <w:p w:rsidR="00000000" w:rsidRPr="009545B4" w:rsidP="000D7C15">
      <w:pPr>
        <w:pStyle w:val="BodyText"/>
      </w:pPr>
      <w:r w:rsidRPr="00954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31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545B4" w:rsidP="009545B4"/>
    <w:sectPr w:rsidSect="009545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B4" w:rsidRPr="000D7C15" w:rsidP="000D7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5" w:rsidP="00954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C15" w:rsidP="00954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C15" w:rsidP="00954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5B4" w:rsidRPr="000D7C15" w:rsidP="000D7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5" w:rsidRPr="002D2AF8" w:rsidP="00954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RIIMSM305D Conduct materials extraction operations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D7C15" w:rsidP="00954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49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54C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25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5B4"/>
  </w:style>
  <w:style w:type="character" w:customStyle="1" w:styleId="Heading1Char">
    <w:name w:val="Heading 1 Char"/>
    <w:basedOn w:val="DefaultParagraphFont"/>
    <w:link w:val="Heading1"/>
    <w:rsid w:val="00954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5B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54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5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5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5B4"/>
    <w:rPr>
      <w:b/>
      <w:spacing w:val="0"/>
    </w:rPr>
  </w:style>
  <w:style w:type="paragraph" w:customStyle="1" w:styleId="SuperTitle">
    <w:name w:val="SuperTitle"/>
    <w:basedOn w:val="Title"/>
    <w:rsid w:val="00954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5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5B4"/>
    <w:rPr>
      <w:i/>
    </w:rPr>
  </w:style>
  <w:style w:type="paragraph" w:styleId="Caption">
    <w:name w:val="caption"/>
    <w:basedOn w:val="BodyText"/>
    <w:next w:val="Normal"/>
    <w:qFormat/>
    <w:rsid w:val="00954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5B4"/>
  </w:style>
  <w:style w:type="paragraph" w:styleId="TableofFigures">
    <w:name w:val="table of figures"/>
    <w:basedOn w:val="Normal"/>
    <w:next w:val="Normal"/>
    <w:semiHidden/>
    <w:rsid w:val="00954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5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5B4"/>
    <w:rPr>
      <w:rFonts w:ascii="Wingdings" w:hAnsi="Wingdings"/>
    </w:rPr>
  </w:style>
  <w:style w:type="paragraph" w:customStyle="1" w:styleId="TableHeading">
    <w:name w:val="Table Heading"/>
    <w:basedOn w:val="HeadingBase"/>
    <w:rsid w:val="00954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5B4"/>
    <w:rPr>
      <w:color w:val="0033CC"/>
      <w:u w:val="none"/>
    </w:rPr>
  </w:style>
  <w:style w:type="paragraph" w:customStyle="1" w:styleId="BodyTextRight">
    <w:name w:val="Body Text Right"/>
    <w:basedOn w:val="BodyText"/>
    <w:rsid w:val="00954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5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5B4"/>
    <w:rPr>
      <w:sz w:val="32"/>
    </w:rPr>
  </w:style>
  <w:style w:type="paragraph" w:customStyle="1" w:styleId="HeadingProcedure">
    <w:name w:val="Heading Procedure"/>
    <w:basedOn w:val="HeadingBase"/>
    <w:next w:val="Normal"/>
    <w:rsid w:val="00954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5B4"/>
    <w:pPr>
      <w:spacing w:before="60" w:after="60"/>
    </w:pPr>
  </w:style>
  <w:style w:type="paragraph" w:styleId="ListContinue">
    <w:name w:val="List Continue"/>
    <w:basedOn w:val="List"/>
    <w:rsid w:val="009545B4"/>
    <w:pPr>
      <w:ind w:firstLine="0"/>
    </w:pPr>
  </w:style>
  <w:style w:type="paragraph" w:customStyle="1" w:styleId="ListNote">
    <w:name w:val="List Note"/>
    <w:basedOn w:val="List"/>
    <w:rsid w:val="00954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5B4"/>
    <w:rPr>
      <w:rFonts w:ascii="Courier New" w:hAnsi="Courier New"/>
    </w:rPr>
  </w:style>
  <w:style w:type="paragraph" w:customStyle="1" w:styleId="NoteBullet">
    <w:name w:val="Note Bullet"/>
    <w:basedOn w:val="Note"/>
    <w:rsid w:val="00954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5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5B4"/>
    <w:rPr>
      <w:b/>
      <w:smallCaps/>
    </w:rPr>
  </w:style>
  <w:style w:type="paragraph" w:customStyle="1" w:styleId="TableListNumber">
    <w:name w:val="Table List Number"/>
    <w:basedOn w:val="ListNumber"/>
    <w:rsid w:val="00954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5B4"/>
    <w:pPr>
      <w:numPr>
        <w:numId w:val="9"/>
      </w:numPr>
    </w:pPr>
  </w:style>
  <w:style w:type="paragraph" w:customStyle="1" w:styleId="ListAlpha2">
    <w:name w:val="List Alpha 2"/>
    <w:basedOn w:val="List2"/>
    <w:rsid w:val="009545B4"/>
    <w:pPr>
      <w:numPr>
        <w:numId w:val="8"/>
      </w:numPr>
    </w:pPr>
  </w:style>
  <w:style w:type="paragraph" w:styleId="List2">
    <w:name w:val="List 2"/>
    <w:basedOn w:val="BodyText"/>
    <w:rsid w:val="00954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5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5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5B4"/>
    <w:pPr>
      <w:numPr>
        <w:numId w:val="4"/>
      </w:numPr>
    </w:pPr>
  </w:style>
  <w:style w:type="paragraph" w:styleId="ListContinue2">
    <w:name w:val="List Continue 2"/>
    <w:basedOn w:val="List2"/>
    <w:rsid w:val="009545B4"/>
    <w:pPr>
      <w:ind w:firstLine="0"/>
    </w:pPr>
  </w:style>
  <w:style w:type="paragraph" w:styleId="ListContinue3">
    <w:name w:val="List Continue 3"/>
    <w:basedOn w:val="List3"/>
    <w:rsid w:val="009545B4"/>
    <w:pPr>
      <w:ind w:left="1021" w:firstLine="0"/>
    </w:pPr>
  </w:style>
  <w:style w:type="paragraph" w:styleId="ListContinue4">
    <w:name w:val="List Continue 4"/>
    <w:basedOn w:val="List4"/>
    <w:rsid w:val="009545B4"/>
    <w:pPr>
      <w:ind w:firstLine="0"/>
    </w:pPr>
  </w:style>
  <w:style w:type="paragraph" w:styleId="ListContinue5">
    <w:name w:val="List Continue 5"/>
    <w:basedOn w:val="List5"/>
    <w:rsid w:val="009545B4"/>
    <w:pPr>
      <w:ind w:firstLine="0"/>
    </w:pPr>
  </w:style>
  <w:style w:type="paragraph" w:styleId="ListNumber3">
    <w:name w:val="List Number 3"/>
    <w:basedOn w:val="List3"/>
    <w:rsid w:val="009545B4"/>
    <w:pPr>
      <w:numPr>
        <w:numId w:val="5"/>
      </w:numPr>
    </w:pPr>
  </w:style>
  <w:style w:type="paragraph" w:styleId="ListNumber4">
    <w:name w:val="List Number 4"/>
    <w:basedOn w:val="List4"/>
    <w:rsid w:val="009545B4"/>
    <w:pPr>
      <w:numPr>
        <w:numId w:val="6"/>
      </w:numPr>
    </w:pPr>
  </w:style>
  <w:style w:type="paragraph" w:styleId="ListNumber5">
    <w:name w:val="List Number 5"/>
    <w:basedOn w:val="List5"/>
    <w:rsid w:val="009545B4"/>
    <w:pPr>
      <w:numPr>
        <w:numId w:val="7"/>
      </w:numPr>
    </w:pPr>
  </w:style>
  <w:style w:type="paragraph" w:styleId="BlockText">
    <w:name w:val="Block Text"/>
    <w:basedOn w:val="Normal"/>
    <w:rsid w:val="00954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5B4"/>
    <w:rPr>
      <w:sz w:val="16"/>
      <w:vertAlign w:val="superscript"/>
    </w:rPr>
  </w:style>
  <w:style w:type="character" w:customStyle="1" w:styleId="Symbols">
    <w:name w:val="Symbols"/>
    <w:basedOn w:val="DefaultParagraphFont"/>
    <w:rsid w:val="009545B4"/>
    <w:rPr>
      <w:rFonts w:ascii="Symbol" w:hAnsi="Symbol"/>
    </w:rPr>
  </w:style>
  <w:style w:type="character" w:customStyle="1" w:styleId="MenuOptions">
    <w:name w:val="Menu Options"/>
    <w:basedOn w:val="DefaultParagraphFont"/>
    <w:rsid w:val="00954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5B4"/>
    <w:rPr>
      <w:b/>
    </w:rPr>
  </w:style>
  <w:style w:type="character" w:customStyle="1" w:styleId="Underlined">
    <w:name w:val="Underlined"/>
    <w:basedOn w:val="DefaultParagraphFont"/>
    <w:rsid w:val="009545B4"/>
    <w:rPr>
      <w:u w:val="single"/>
    </w:rPr>
  </w:style>
  <w:style w:type="paragraph" w:customStyle="1" w:styleId="TableBodyTextRight">
    <w:name w:val="Table Body Text Right"/>
    <w:basedOn w:val="TableBodyText"/>
    <w:rsid w:val="00954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5B4"/>
    <w:rPr>
      <w:sz w:val="18"/>
    </w:rPr>
  </w:style>
  <w:style w:type="paragraph" w:customStyle="1" w:styleId="BodySmallRight">
    <w:name w:val="Body Small Right"/>
    <w:basedOn w:val="BodyTextRight"/>
    <w:rsid w:val="009545B4"/>
    <w:rPr>
      <w:sz w:val="18"/>
      <w:szCs w:val="18"/>
    </w:rPr>
  </w:style>
  <w:style w:type="paragraph" w:customStyle="1" w:styleId="MarginEdition">
    <w:name w:val="Margin Edition"/>
    <w:basedOn w:val="MarginNote"/>
    <w:rsid w:val="00954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5B4"/>
    <w:rPr>
      <w:sz w:val="2"/>
      <w:szCs w:val="2"/>
    </w:rPr>
  </w:style>
  <w:style w:type="character" w:customStyle="1" w:styleId="Small">
    <w:name w:val="Small"/>
    <w:basedOn w:val="DefaultParagraphFont"/>
    <w:rsid w:val="009545B4"/>
    <w:rPr>
      <w:sz w:val="16"/>
    </w:rPr>
  </w:style>
  <w:style w:type="paragraph" w:customStyle="1" w:styleId="WideTable">
    <w:name w:val="Wide Table"/>
    <w:basedOn w:val="Normal"/>
    <w:rsid w:val="00954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5B4"/>
  </w:style>
  <w:style w:type="paragraph" w:styleId="Quote">
    <w:name w:val="Quote"/>
    <w:basedOn w:val="Heading1"/>
    <w:link w:val="QuoteChar"/>
    <w:qFormat/>
    <w:rsid w:val="00954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5B4"/>
    <w:pPr>
      <w:pageBreakBefore/>
    </w:pPr>
  </w:style>
  <w:style w:type="paragraph" w:customStyle="1" w:styleId="Border">
    <w:name w:val="Border"/>
    <w:basedOn w:val="Normal"/>
    <w:qFormat/>
    <w:rsid w:val="00954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5B4"/>
    <w:rPr>
      <w:u w:val="single"/>
    </w:rPr>
  </w:style>
  <w:style w:type="character" w:customStyle="1" w:styleId="BoldandItalics">
    <w:name w:val="Bold and Italics"/>
    <w:qFormat/>
    <w:rsid w:val="009545B4"/>
    <w:rPr>
      <w:b/>
      <w:i/>
      <w:u w:val="none"/>
    </w:rPr>
  </w:style>
  <w:style w:type="paragraph" w:styleId="BalloonText">
    <w:name w:val="Balloon Text"/>
    <w:basedOn w:val="Normal"/>
    <w:link w:val="BalloonTextChar"/>
    <w:rsid w:val="00954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5B4"/>
    <w:pPr>
      <w:spacing w:before="0" w:after="0"/>
    </w:pPr>
  </w:style>
  <w:style w:type="paragraph" w:customStyle="1" w:styleId="BodyTextBold">
    <w:name w:val="Body Text Bold"/>
    <w:basedOn w:val="BodyText"/>
    <w:qFormat/>
    <w:rsid w:val="009545B4"/>
    <w:rPr>
      <w:b/>
    </w:rPr>
  </w:style>
  <w:style w:type="character" w:styleId="Hyperlink">
    <w:name w:val="Hyperlink"/>
    <w:basedOn w:val="DefaultParagraphFont"/>
    <w:uiPriority w:val="99"/>
    <w:unhideWhenUsed/>
    <w:rsid w:val="000D7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5440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RIIMSM305D Conduct materials extraction operations underground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2021-01-25T10:47:00Z</dcterms:created>
  <dcterms:modified xsi:type="dcterms:W3CDTF">2021-01-25T10:47:00Z</dcterms:modified>
</cp:coreProperties>
</file>