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E5C" w:rsidP="00E86E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RIIMSM304D Inspect small mines operations</w:t>
      </w:r>
      <w:r>
        <w:fldChar w:fldCharType="end"/>
      </w:r>
    </w:p>
    <w:p w:rsidR="00E86E5C" w:rsidP="00E86E5C">
      <w:pPr>
        <w:pStyle w:val="Version"/>
        <w:sectPr w:rsidSect="00D14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4B6E" w:rsidP="00D14B6E">
      <w:pPr>
        <w:pStyle w:val="SuperHeading"/>
      </w:pPr>
      <w:r w:rsidRPr="00D14B6E">
        <w:t>Assessment Requirements for RIIMSM304D Inspect small mines operations</w:t>
      </w:r>
    </w:p>
    <w:p w:rsidR="00000000" w:rsidRPr="00D14B6E" w:rsidP="00D14B6E">
      <w:pPr>
        <w:pStyle w:val="Heading1"/>
      </w:pPr>
      <w:bookmarkStart w:id="1" w:name="O_692186"/>
      <w:bookmarkEnd w:id="1"/>
      <w:r w:rsidRPr="00D14B6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86E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6E">
            <w:pPr>
              <w:pStyle w:val="Heading4"/>
              <w:rPr>
                <w:lang w:val="en-NZ"/>
              </w:rPr>
            </w:pPr>
            <w:r w:rsidRPr="00D14B6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6E">
            <w:pPr>
              <w:pStyle w:val="Heading4"/>
              <w:rPr>
                <w:lang w:val="en-NZ"/>
              </w:rPr>
            </w:pPr>
            <w:r w:rsidRPr="00D14B6E">
              <w:t>Comment</w:t>
            </w:r>
          </w:p>
        </w:tc>
      </w:tr>
      <w:tr w:rsidTr="00E86E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This unit replaces RIIMSM304A Inspect small mine operations</w:t>
            </w:r>
          </w:p>
        </w:tc>
      </w:tr>
      <w:tr w:rsidTr="00E86E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6E" w:rsidP="00D14B6E">
            <w:pPr>
              <w:pStyle w:val="BodyText"/>
            </w:pPr>
            <w:r w:rsidRPr="00D14B6E">
              <w:t>Required frequency and volume of evidence amended in Performance evidence.</w:t>
            </w:r>
          </w:p>
          <w:p w:rsidR="00000000" w:rsidRPr="00D14B6E" w:rsidP="00D14B6E">
            <w:pPr>
              <w:pStyle w:val="BodyText"/>
            </w:pPr>
            <w:r w:rsidRPr="00D14B6E">
              <w:t>Substantial amendments made in Assessment Conditions field, including: references to Industry Sectors, assessor and subject matter expert experience requirements, how assessment sho</w:t>
            </w:r>
            <w:r w:rsidRPr="00D14B6E">
              <w:t>uld be conducted and what it should confirm.</w:t>
            </w:r>
          </w:p>
        </w:tc>
      </w:tr>
    </w:tbl>
    <w:p w:rsidR="00000000" w:rsidRPr="00D14B6E" w:rsidP="00D14B6E">
      <w:pPr>
        <w:pStyle w:val="BodyText"/>
      </w:pPr>
    </w:p>
    <w:p w:rsidR="00000000" w:rsidRPr="00D14B6E" w:rsidP="00D14B6E">
      <w:pPr>
        <w:pStyle w:val="AllowPageBreak"/>
      </w:pPr>
    </w:p>
    <w:p w:rsidR="00000000" w:rsidRPr="00D14B6E" w:rsidP="00D14B6E">
      <w:pPr>
        <w:pStyle w:val="Heading1"/>
      </w:pPr>
      <w:bookmarkStart w:id="2" w:name="O_692185"/>
      <w:bookmarkEnd w:id="2"/>
      <w:r w:rsidRPr="00D14B6E">
        <w:t>Performance Evidence</w:t>
      </w:r>
    </w:p>
    <w:p w:rsidR="00000000" w:rsidRPr="00D14B6E" w:rsidP="00E86E5C">
      <w:pPr>
        <w:pStyle w:val="BodyText"/>
      </w:pPr>
      <w:r w:rsidRPr="00D14B6E">
        <w:t>Evidence is required to be collected that demonstrates a candidate’s competency in this unit. Evidence must be relevant to the roles within this sector’s work operations a</w:t>
      </w:r>
      <w:r w:rsidRPr="00D14B6E">
        <w:t>nd satisfy all of the requirements of the performance criteria of this unit and include evidence that the candidate:</w:t>
      </w:r>
    </w:p>
    <w:p w:rsidR="00000000" w:rsidRPr="00D14B6E" w:rsidP="00D14B6E">
      <w:pPr>
        <w:pStyle w:val="ListBullet"/>
      </w:pPr>
      <w:r w:rsidRPr="00D14B6E">
        <w:t>locates and applies applicable legislation, documentation, policies and procedures</w:t>
      </w:r>
    </w:p>
    <w:p w:rsidR="00000000" w:rsidRPr="00D14B6E" w:rsidP="00D14B6E">
      <w:pPr>
        <w:pStyle w:val="ListBullet"/>
      </w:pPr>
      <w:r w:rsidRPr="00D14B6E">
        <w:t>implements requirements, procedures and techniques for the safe, effective and efficient completion of inspecting small mine operations including:</w:t>
      </w:r>
    </w:p>
    <w:p w:rsidR="00000000" w:rsidRPr="00D14B6E" w:rsidP="00D14B6E">
      <w:pPr>
        <w:pStyle w:val="ListBullet2"/>
      </w:pPr>
      <w:r w:rsidRPr="00D14B6E">
        <w:t>reading, explaining and applying:</w:t>
      </w:r>
    </w:p>
    <w:p w:rsidR="00000000" w:rsidRPr="00D14B6E" w:rsidP="00D14B6E">
      <w:pPr>
        <w:pStyle w:val="ListBullet3"/>
      </w:pPr>
      <w:r w:rsidRPr="00D14B6E">
        <w:t>technical information</w:t>
      </w:r>
    </w:p>
    <w:p w:rsidR="00000000" w:rsidRPr="00D14B6E" w:rsidP="00D14B6E">
      <w:pPr>
        <w:pStyle w:val="ListBullet3"/>
      </w:pPr>
      <w:r w:rsidRPr="00D14B6E">
        <w:t>site/legislative requirements</w:t>
      </w:r>
    </w:p>
    <w:p w:rsidR="00000000" w:rsidRPr="00D14B6E" w:rsidP="00D14B6E">
      <w:pPr>
        <w:pStyle w:val="ListBullet3"/>
      </w:pPr>
      <w:r w:rsidRPr="00D14B6E">
        <w:t>job priorities</w:t>
      </w:r>
    </w:p>
    <w:p w:rsidR="00000000" w:rsidRPr="00D14B6E" w:rsidP="00D14B6E">
      <w:pPr>
        <w:pStyle w:val="ListBullet2"/>
      </w:pPr>
      <w:r w:rsidRPr="00D14B6E">
        <w:t>coord</w:t>
      </w:r>
      <w:r w:rsidRPr="00D14B6E">
        <w:t>inating the inspection process</w:t>
      </w:r>
    </w:p>
    <w:p w:rsidR="00000000" w:rsidRPr="00D14B6E" w:rsidP="00D14B6E">
      <w:pPr>
        <w:pStyle w:val="ListBullet2"/>
      </w:pPr>
      <w:r w:rsidRPr="00D14B6E">
        <w:t>recognising potential hazards and applying corrective measures according to site/legislative procedures</w:t>
      </w:r>
    </w:p>
    <w:p w:rsidR="00000000" w:rsidRPr="00D14B6E" w:rsidP="00D14B6E">
      <w:pPr>
        <w:pStyle w:val="ListBullet2"/>
      </w:pPr>
      <w:r w:rsidRPr="00D14B6E">
        <w:t>investigating and reporting on incidents</w:t>
      </w:r>
    </w:p>
    <w:p w:rsidR="00000000" w:rsidRPr="00D14B6E" w:rsidP="00D14B6E">
      <w:pPr>
        <w:pStyle w:val="ListBullet2"/>
      </w:pPr>
      <w:r w:rsidRPr="00D14B6E">
        <w:t>preparing technical reports</w:t>
      </w:r>
    </w:p>
    <w:p w:rsidR="00000000" w:rsidRPr="00D14B6E" w:rsidP="00D14B6E">
      <w:pPr>
        <w:pStyle w:val="ListBullet2"/>
      </w:pPr>
      <w:r w:rsidRPr="00D14B6E">
        <w:t>providing feedback</w:t>
      </w:r>
    </w:p>
    <w:p w:rsidR="00000000" w:rsidRPr="00D14B6E" w:rsidP="00D14B6E">
      <w:pPr>
        <w:pStyle w:val="ListBullet"/>
      </w:pPr>
      <w:r w:rsidRPr="00D14B6E">
        <w:t>works effectively with others to undertake and complete the inspection of small mine operations that meets all of the required outcomes including:</w:t>
      </w:r>
    </w:p>
    <w:p w:rsidR="00000000" w:rsidRPr="00D14B6E" w:rsidP="00D14B6E">
      <w:pPr>
        <w:pStyle w:val="ListBullet2"/>
      </w:pPr>
      <w:r w:rsidRPr="00D14B6E">
        <w:t>communicating clearly and concisely with others</w:t>
      </w:r>
    </w:p>
    <w:p w:rsidR="00000000" w:rsidRPr="00D14B6E" w:rsidP="00D14B6E">
      <w:pPr>
        <w:pStyle w:val="ListBullet2"/>
      </w:pPr>
      <w:r w:rsidRPr="00D14B6E">
        <w:t>interpreting and confirming information</w:t>
      </w:r>
    </w:p>
    <w:p w:rsidR="00000000" w:rsidRPr="00D14B6E" w:rsidP="00D14B6E">
      <w:pPr>
        <w:pStyle w:val="ListBullet"/>
      </w:pPr>
      <w:r w:rsidRPr="00D14B6E">
        <w:t>demonstrates comple</w:t>
      </w:r>
      <w:r w:rsidRPr="00D14B6E">
        <w:t>tion of inspecting small mines operations that safely, effectively and efficiently meets all of the required outcomes on more than one (1) occasion including:</w:t>
      </w:r>
    </w:p>
    <w:p w:rsidR="00000000" w:rsidRPr="00D14B6E" w:rsidP="00D14B6E">
      <w:pPr>
        <w:pStyle w:val="ListBullet2"/>
      </w:pPr>
      <w:r w:rsidRPr="00D14B6E">
        <w:t>responding immediately to instances of non-compliance to regulatory or other operational practic</w:t>
      </w:r>
      <w:r w:rsidRPr="00D14B6E">
        <w:t>es which endanger personnel</w:t>
      </w:r>
    </w:p>
    <w:p w:rsidR="00000000" w:rsidRPr="00D14B6E" w:rsidP="00D14B6E">
      <w:pPr>
        <w:pStyle w:val="ListBullet2"/>
      </w:pPr>
      <w:r w:rsidRPr="00D14B6E">
        <w:t>discussing inspection findings with responsible parties and initiating a response to restore operational safety and site compliance</w:t>
      </w:r>
    </w:p>
    <w:p w:rsidR="00000000" w:rsidRPr="00D14B6E" w:rsidP="00D14B6E">
      <w:pPr>
        <w:pStyle w:val="ListBullet2"/>
      </w:pPr>
      <w:r w:rsidRPr="00D14B6E">
        <w:t>recording results of inspections and processing records in accordance with legislative requireme</w:t>
      </w:r>
      <w:r w:rsidRPr="00D14B6E">
        <w:t>nts and local mine procedures</w:t>
      </w:r>
    </w:p>
    <w:p w:rsidR="00000000" w:rsidRPr="00D14B6E" w:rsidP="00D14B6E">
      <w:pPr>
        <w:pStyle w:val="AllowPageBreak"/>
      </w:pPr>
    </w:p>
    <w:p w:rsidR="00000000" w:rsidRPr="00D14B6E" w:rsidP="00D14B6E">
      <w:pPr>
        <w:pStyle w:val="Heading1"/>
      </w:pPr>
      <w:bookmarkStart w:id="3" w:name="O_692184"/>
      <w:bookmarkEnd w:id="3"/>
      <w:r w:rsidRPr="00D14B6E">
        <w:t>Knowledge Evidence</w:t>
      </w:r>
    </w:p>
    <w:p w:rsidR="00000000" w:rsidRPr="00D14B6E" w:rsidP="00E86E5C">
      <w:pPr>
        <w:pStyle w:val="BodyText"/>
      </w:pPr>
      <w:r w:rsidRPr="00D14B6E">
        <w:t>The candidate must demonstrate knowledge in inspecting small mines operations through:</w:t>
      </w:r>
    </w:p>
    <w:p w:rsidR="00000000" w:rsidRPr="00D14B6E" w:rsidP="00D14B6E">
      <w:pPr>
        <w:pStyle w:val="ListBullet"/>
      </w:pPr>
      <w:r w:rsidRPr="00D14B6E">
        <w:t>accessing, interpreting and applying legislative, organisation and site requirements and procedures fo</w:t>
      </w:r>
      <w:r w:rsidRPr="00D14B6E">
        <w:t>r:</w:t>
      </w:r>
    </w:p>
    <w:p w:rsidR="00000000" w:rsidRPr="00D14B6E" w:rsidP="00D14B6E">
      <w:pPr>
        <w:pStyle w:val="ListBullet"/>
      </w:pPr>
      <w:r w:rsidRPr="00D14B6E">
        <w:t>operation of site machinery and equipment</w:t>
      </w:r>
    </w:p>
    <w:p w:rsidR="00000000" w:rsidRPr="00D14B6E" w:rsidP="00D14B6E">
      <w:pPr>
        <w:pStyle w:val="ListBullet"/>
      </w:pPr>
      <w:r w:rsidRPr="00D14B6E">
        <w:t>conducting inspections</w:t>
      </w:r>
    </w:p>
    <w:p w:rsidR="00000000" w:rsidRPr="00D14B6E" w:rsidP="00D14B6E">
      <w:pPr>
        <w:pStyle w:val="ListBullet"/>
      </w:pPr>
      <w:r w:rsidRPr="00D14B6E">
        <w:t>operational and maintenance</w:t>
      </w:r>
    </w:p>
    <w:p w:rsidR="00000000" w:rsidRPr="00D14B6E" w:rsidP="00D14B6E">
      <w:pPr>
        <w:pStyle w:val="ListBullet"/>
      </w:pPr>
      <w:r w:rsidRPr="00D14B6E">
        <w:t>risk management</w:t>
      </w:r>
    </w:p>
    <w:p w:rsidR="00000000" w:rsidRPr="00D14B6E" w:rsidP="00D14B6E">
      <w:pPr>
        <w:pStyle w:val="ListBullet"/>
      </w:pPr>
      <w:r w:rsidRPr="00D14B6E">
        <w:t>accessing, interpreting and applying geological, geographical and survey data</w:t>
      </w:r>
    </w:p>
    <w:p w:rsidR="00000000" w:rsidRPr="00D14B6E" w:rsidP="00D14B6E">
      <w:pPr>
        <w:pStyle w:val="ListBullet"/>
      </w:pPr>
      <w:r w:rsidRPr="00D14B6E">
        <w:t>working within extractive operations</w:t>
      </w:r>
    </w:p>
    <w:p w:rsidR="00000000" w:rsidRPr="00D14B6E" w:rsidP="00D14B6E">
      <w:pPr>
        <w:pStyle w:val="ListBullet"/>
      </w:pPr>
      <w:r w:rsidRPr="00D14B6E">
        <w:t>accessing, interpreting and applying equipment characteristics, technical capabilities and limitations</w:t>
      </w:r>
    </w:p>
    <w:p w:rsidR="00000000" w:rsidRPr="00D14B6E" w:rsidP="00D14B6E">
      <w:pPr>
        <w:pStyle w:val="AllowPageBreak"/>
      </w:pPr>
    </w:p>
    <w:p w:rsidR="00000000" w:rsidRPr="00D14B6E" w:rsidP="00D14B6E">
      <w:pPr>
        <w:pStyle w:val="Heading1"/>
      </w:pPr>
      <w:bookmarkStart w:id="4" w:name="O_692183"/>
      <w:bookmarkEnd w:id="4"/>
      <w:r w:rsidRPr="00D14B6E">
        <w:t>Assessment Conditions</w:t>
      </w:r>
    </w:p>
    <w:p w:rsidR="00000000" w:rsidRPr="00D14B6E" w:rsidP="00D14B6E">
      <w:pPr>
        <w:pStyle w:val="ListBullet"/>
      </w:pPr>
      <w:r w:rsidRPr="00D14B6E">
        <w:t>An assessor of this unit must satisfy the requirements of the NVR/AQTF or their successors; and Industry regulati</w:t>
      </w:r>
      <w:r w:rsidRPr="00D14B6E">
        <w:t xml:space="preserve">ons for certification and licensing; and, </w:t>
      </w:r>
    </w:p>
    <w:p w:rsidR="00000000" w:rsidRPr="00D14B6E" w:rsidP="00D14B6E">
      <w:pPr>
        <w:pStyle w:val="ListBullet"/>
      </w:pPr>
      <w:r w:rsidRPr="00D14B6E">
        <w:t>this unit must be assessed in the context of this sector’s work environment; and,</w:t>
      </w:r>
    </w:p>
    <w:p w:rsidR="00000000" w:rsidRPr="00D14B6E" w:rsidP="00D14B6E">
      <w:pPr>
        <w:pStyle w:val="ListBullet"/>
      </w:pPr>
      <w:r w:rsidRPr="00D14B6E">
        <w:t>this unit must be assessed in compliance with relevant legislation/regulation and using policies, procedures, processes and operati</w:t>
      </w:r>
      <w:r w:rsidRPr="00D14B6E">
        <w:t>onal manuals directly related to the industry sector for which it is being assessed; and,</w:t>
      </w:r>
    </w:p>
    <w:p w:rsidR="00000000" w:rsidRPr="00D14B6E" w:rsidP="00D14B6E">
      <w:pPr>
        <w:pStyle w:val="ListBullet"/>
      </w:pPr>
      <w:r w:rsidRPr="00D14B6E">
        <w:t>assessment may be conducted in conjunction with the assessment of other Units of Competency; and,</w:t>
      </w:r>
    </w:p>
    <w:p w:rsidR="00000000" w:rsidRPr="00D14B6E" w:rsidP="00D14B6E">
      <w:pPr>
        <w:pStyle w:val="ListBullet"/>
      </w:pPr>
      <w:r w:rsidRPr="00D14B6E">
        <w:t>assessment must confirm consistent performance can be applied in a r</w:t>
      </w:r>
      <w:r w:rsidRPr="00D14B6E">
        <w:t>ange of relevant workplace circumstances; and,</w:t>
      </w:r>
    </w:p>
    <w:p w:rsidR="00000000" w:rsidRPr="00D14B6E" w:rsidP="00D14B6E">
      <w:pPr>
        <w:pStyle w:val="ListBullet"/>
      </w:pPr>
      <w:r w:rsidRPr="00D14B6E">
        <w:t>assessors must demonstrate the performance evidence, and knowledge evidence as outlined in this Unit of Competency, and through the minimum years of current* work experience specified below in an Industry sect</w:t>
      </w:r>
      <w:r w:rsidRPr="00D14B6E">
        <w:t>or relevant to the outcomes of the unit; or,</w:t>
      </w:r>
    </w:p>
    <w:p w:rsidR="00000000" w:rsidRPr="00D14B6E" w:rsidP="00D14B6E">
      <w:pPr>
        <w:pStyle w:val="ListBullet"/>
      </w:pPr>
      <w:r w:rsidRPr="00D14B6E">
        <w:t>where the assessor does not meet experience requirements a co-assessment or partnership arrangement must exist between the qualified assessor and an Industry subject matter expert. The Industry subject matter ex</w:t>
      </w:r>
      <w:r w:rsidRPr="00D14B6E">
        <w:t>pert should hold the unit being assessed (or an equivalent unit) and/or demonstrate equivalence of skills and knowledge at the unit level. An Industry technical expert must also demonstrate skills and knowledge from the minimum years of current work experi</w:t>
      </w:r>
      <w:r w:rsidRPr="00D14B6E">
        <w:t>ence specified below in the Industry sector, including time spent in roles related to the unit being assessed; and,</w:t>
      </w:r>
    </w:p>
    <w:p w:rsidR="00000000" w:rsidRPr="00D14B6E" w:rsidP="00D14B6E">
      <w:pPr>
        <w:pStyle w:val="ListBullet"/>
      </w:pPr>
      <w:r w:rsidRPr="00D14B6E">
        <w:t>assessor and Industry subject matter expert requirements differ depending on the Australian Qualifications Framework Level (AQF) of the qual</w:t>
      </w:r>
      <w:r w:rsidRPr="00D14B6E">
        <w:t>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Heading4"/>
              <w:rPr>
                <w:lang w:val="en-NZ"/>
              </w:rPr>
            </w:pPr>
            <w:r w:rsidRPr="00D14B6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Heading4"/>
              <w:rPr>
                <w:lang w:val="en-NZ"/>
              </w:rPr>
            </w:pPr>
            <w:r w:rsidRPr="00D14B6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Heading4"/>
              <w:rPr>
                <w:lang w:val="en-NZ"/>
              </w:rPr>
            </w:pPr>
            <w:r w:rsidRPr="00D14B6E">
              <w:t>Required assessor or Industry subject matter expert experience</w:t>
            </w:r>
          </w:p>
        </w:tc>
      </w:tr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1 Year</w:t>
            </w:r>
          </w:p>
        </w:tc>
      </w:tr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2 Years</w:t>
            </w:r>
          </w:p>
        </w:tc>
      </w:tr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3 Years</w:t>
            </w:r>
          </w:p>
        </w:tc>
      </w:tr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5 Years</w:t>
            </w:r>
          </w:p>
        </w:tc>
      </w:tr>
      <w:tr w:rsidTr="00D14B6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4B6E">
            <w:pPr>
              <w:pStyle w:val="BodyText"/>
              <w:rPr>
                <w:lang w:val="en-NZ"/>
              </w:rPr>
            </w:pPr>
            <w:r w:rsidRPr="00D14B6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4B6E" w:rsidP="00D14B6E">
            <w:pPr>
              <w:pStyle w:val="BodyText"/>
            </w:pPr>
            <w:r w:rsidRPr="00D14B6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14B6E">
              <w:t>ndard is specified should comply with any relevant regulation.</w:t>
            </w:r>
          </w:p>
        </w:tc>
      </w:tr>
    </w:tbl>
    <w:p w:rsidR="00000000" w:rsidRPr="00D14B6E" w:rsidP="00E86E5C">
      <w:pPr>
        <w:pStyle w:val="BodyText"/>
      </w:pPr>
      <w:r w:rsidRPr="00D14B6E">
        <w:t xml:space="preserve">*Assessors can demonstrate current work experience through employment within Industry in a role relevant to the outcomes of the Unit; or, for external </w:t>
      </w:r>
      <w:r w:rsidRPr="00D14B6E">
        <w:t>assessors this can be demonstrated through exposure to Industry by conducting frequent site assessments across various locations.</w:t>
      </w:r>
    </w:p>
    <w:p w:rsidR="00000000" w:rsidRPr="00D14B6E" w:rsidP="00E86E5C">
      <w:pPr>
        <w:pStyle w:val="BodyText"/>
      </w:pPr>
      <w:r w:rsidRPr="00D14B6E">
        <w:t>**Where a unit is being delivered outside of a Qualification the first numeric character in the Unit code should be considered</w:t>
      </w:r>
      <w:r w:rsidRPr="00D14B6E">
        <w:t xml:space="preserve"> to indicate the AQF level</w:t>
      </w:r>
    </w:p>
    <w:p w:rsidR="00000000" w:rsidRPr="00D14B6E" w:rsidP="00D14B6E">
      <w:pPr>
        <w:pStyle w:val="Heading1"/>
      </w:pPr>
      <w:bookmarkStart w:id="5" w:name="O_692195"/>
      <w:bookmarkEnd w:id="5"/>
      <w:r w:rsidRPr="00D14B6E">
        <w:t>Links</w:t>
      </w:r>
    </w:p>
    <w:p w:rsidR="00000000" w:rsidRPr="00D14B6E" w:rsidP="00E86E5C">
      <w:pPr>
        <w:pStyle w:val="BodyText"/>
      </w:pPr>
      <w:r w:rsidRPr="00D14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56A0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4B6E" w:rsidP="00D14B6E"/>
    <w:sectPr w:rsidSect="00D14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6E" w:rsidRPr="00E86E5C" w:rsidP="00E86E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5C" w:rsidP="00D14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6E5C" w:rsidP="00D14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E5C" w:rsidP="00D14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B6E" w:rsidRPr="00E86E5C" w:rsidP="00E86E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5C" w:rsidRPr="002D2AF8" w:rsidP="00D14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RIIMSM304D Inspect small mines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86E5C" w:rsidP="00D14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22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D68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86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B6E"/>
  </w:style>
  <w:style w:type="character" w:customStyle="1" w:styleId="Heading1Char">
    <w:name w:val="Heading 1 Char"/>
    <w:basedOn w:val="DefaultParagraphFont"/>
    <w:link w:val="Heading1"/>
    <w:rsid w:val="00D14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B6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14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B6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4B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4B6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4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B6E"/>
    <w:rPr>
      <w:b/>
      <w:spacing w:val="0"/>
    </w:rPr>
  </w:style>
  <w:style w:type="paragraph" w:customStyle="1" w:styleId="SuperTitle">
    <w:name w:val="SuperTitle"/>
    <w:basedOn w:val="Title"/>
    <w:rsid w:val="00D14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B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B6E"/>
    <w:rPr>
      <w:i/>
    </w:rPr>
  </w:style>
  <w:style w:type="paragraph" w:styleId="Caption">
    <w:name w:val="caption"/>
    <w:basedOn w:val="BodyText"/>
    <w:next w:val="Normal"/>
    <w:qFormat/>
    <w:rsid w:val="00D14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B6E"/>
  </w:style>
  <w:style w:type="paragraph" w:styleId="TableofFigures">
    <w:name w:val="table of figures"/>
    <w:basedOn w:val="Normal"/>
    <w:next w:val="Normal"/>
    <w:semiHidden/>
    <w:rsid w:val="00D14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B6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4B6E"/>
    <w:rPr>
      <w:rFonts w:ascii="Wingdings" w:hAnsi="Wingdings"/>
    </w:rPr>
  </w:style>
  <w:style w:type="paragraph" w:customStyle="1" w:styleId="TableHeading">
    <w:name w:val="Table Heading"/>
    <w:basedOn w:val="HeadingBase"/>
    <w:rsid w:val="00D14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B6E"/>
    <w:rPr>
      <w:color w:val="0033CC"/>
      <w:u w:val="none"/>
    </w:rPr>
  </w:style>
  <w:style w:type="paragraph" w:customStyle="1" w:styleId="BodyTextRight">
    <w:name w:val="Body Text Right"/>
    <w:basedOn w:val="BodyText"/>
    <w:rsid w:val="00D14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B6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B6E"/>
    <w:rPr>
      <w:sz w:val="32"/>
    </w:rPr>
  </w:style>
  <w:style w:type="paragraph" w:customStyle="1" w:styleId="HeadingProcedure">
    <w:name w:val="Heading Procedure"/>
    <w:basedOn w:val="HeadingBase"/>
    <w:next w:val="Normal"/>
    <w:rsid w:val="00D14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B6E"/>
    <w:pPr>
      <w:spacing w:before="60" w:after="60"/>
    </w:pPr>
  </w:style>
  <w:style w:type="paragraph" w:styleId="ListContinue">
    <w:name w:val="List Continue"/>
    <w:basedOn w:val="List"/>
    <w:rsid w:val="00D14B6E"/>
    <w:pPr>
      <w:ind w:firstLine="0"/>
    </w:pPr>
  </w:style>
  <w:style w:type="paragraph" w:customStyle="1" w:styleId="ListNote">
    <w:name w:val="List Note"/>
    <w:basedOn w:val="List"/>
    <w:rsid w:val="00D14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B6E"/>
    <w:rPr>
      <w:rFonts w:ascii="Courier New" w:hAnsi="Courier New"/>
    </w:rPr>
  </w:style>
  <w:style w:type="paragraph" w:customStyle="1" w:styleId="NoteBullet">
    <w:name w:val="Note Bullet"/>
    <w:basedOn w:val="Note"/>
    <w:rsid w:val="00D14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B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4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B6E"/>
    <w:rPr>
      <w:b/>
      <w:smallCaps/>
    </w:rPr>
  </w:style>
  <w:style w:type="paragraph" w:customStyle="1" w:styleId="TableListNumber">
    <w:name w:val="Table List Number"/>
    <w:basedOn w:val="ListNumber"/>
    <w:rsid w:val="00D14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B6E"/>
    <w:pPr>
      <w:numPr>
        <w:numId w:val="10"/>
      </w:numPr>
    </w:pPr>
  </w:style>
  <w:style w:type="paragraph" w:customStyle="1" w:styleId="ListAlpha2">
    <w:name w:val="List Alpha 2"/>
    <w:basedOn w:val="List2"/>
    <w:rsid w:val="00D14B6E"/>
    <w:pPr>
      <w:numPr>
        <w:numId w:val="9"/>
      </w:numPr>
    </w:pPr>
  </w:style>
  <w:style w:type="paragraph" w:styleId="List2">
    <w:name w:val="List 2"/>
    <w:basedOn w:val="BodyText"/>
    <w:rsid w:val="00D14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B6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4B6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4B6E"/>
    <w:pPr>
      <w:numPr>
        <w:numId w:val="5"/>
      </w:numPr>
    </w:pPr>
  </w:style>
  <w:style w:type="paragraph" w:styleId="ListContinue2">
    <w:name w:val="List Continue 2"/>
    <w:basedOn w:val="List2"/>
    <w:rsid w:val="00D14B6E"/>
    <w:pPr>
      <w:ind w:firstLine="0"/>
    </w:pPr>
  </w:style>
  <w:style w:type="paragraph" w:styleId="ListContinue3">
    <w:name w:val="List Continue 3"/>
    <w:basedOn w:val="List3"/>
    <w:rsid w:val="00D14B6E"/>
    <w:pPr>
      <w:ind w:left="1021" w:firstLine="0"/>
    </w:pPr>
  </w:style>
  <w:style w:type="paragraph" w:styleId="ListContinue4">
    <w:name w:val="List Continue 4"/>
    <w:basedOn w:val="List4"/>
    <w:rsid w:val="00D14B6E"/>
    <w:pPr>
      <w:ind w:firstLine="0"/>
    </w:pPr>
  </w:style>
  <w:style w:type="paragraph" w:styleId="ListContinue5">
    <w:name w:val="List Continue 5"/>
    <w:basedOn w:val="List5"/>
    <w:rsid w:val="00D14B6E"/>
    <w:pPr>
      <w:ind w:firstLine="0"/>
    </w:pPr>
  </w:style>
  <w:style w:type="paragraph" w:styleId="ListNumber3">
    <w:name w:val="List Number 3"/>
    <w:basedOn w:val="List3"/>
    <w:rsid w:val="00D14B6E"/>
    <w:pPr>
      <w:numPr>
        <w:numId w:val="6"/>
      </w:numPr>
    </w:pPr>
  </w:style>
  <w:style w:type="paragraph" w:styleId="ListNumber4">
    <w:name w:val="List Number 4"/>
    <w:basedOn w:val="List4"/>
    <w:rsid w:val="00D14B6E"/>
    <w:pPr>
      <w:numPr>
        <w:numId w:val="7"/>
      </w:numPr>
    </w:pPr>
  </w:style>
  <w:style w:type="paragraph" w:styleId="ListNumber5">
    <w:name w:val="List Number 5"/>
    <w:basedOn w:val="List5"/>
    <w:rsid w:val="00D14B6E"/>
    <w:pPr>
      <w:numPr>
        <w:numId w:val="8"/>
      </w:numPr>
    </w:pPr>
  </w:style>
  <w:style w:type="paragraph" w:styleId="BlockText">
    <w:name w:val="Block Text"/>
    <w:basedOn w:val="Normal"/>
    <w:rsid w:val="00D14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B6E"/>
    <w:rPr>
      <w:sz w:val="16"/>
      <w:vertAlign w:val="superscript"/>
    </w:rPr>
  </w:style>
  <w:style w:type="character" w:customStyle="1" w:styleId="Symbols">
    <w:name w:val="Symbols"/>
    <w:basedOn w:val="DefaultParagraphFont"/>
    <w:rsid w:val="00D14B6E"/>
    <w:rPr>
      <w:rFonts w:ascii="Symbol" w:hAnsi="Symbol"/>
    </w:rPr>
  </w:style>
  <w:style w:type="character" w:customStyle="1" w:styleId="MenuOptions">
    <w:name w:val="Menu Options"/>
    <w:basedOn w:val="DefaultParagraphFont"/>
    <w:rsid w:val="00D14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B6E"/>
    <w:rPr>
      <w:b/>
    </w:rPr>
  </w:style>
  <w:style w:type="character" w:customStyle="1" w:styleId="Underlined">
    <w:name w:val="Underlined"/>
    <w:basedOn w:val="DefaultParagraphFont"/>
    <w:rsid w:val="00D14B6E"/>
    <w:rPr>
      <w:u w:val="single"/>
    </w:rPr>
  </w:style>
  <w:style w:type="paragraph" w:customStyle="1" w:styleId="TableBodyTextRight">
    <w:name w:val="Table Body Text Right"/>
    <w:basedOn w:val="TableBodyText"/>
    <w:rsid w:val="00D14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B6E"/>
    <w:rPr>
      <w:sz w:val="18"/>
    </w:rPr>
  </w:style>
  <w:style w:type="paragraph" w:customStyle="1" w:styleId="BodySmallRight">
    <w:name w:val="Body Small Right"/>
    <w:basedOn w:val="BodyTextRight"/>
    <w:rsid w:val="00D14B6E"/>
    <w:rPr>
      <w:sz w:val="18"/>
      <w:szCs w:val="18"/>
    </w:rPr>
  </w:style>
  <w:style w:type="paragraph" w:customStyle="1" w:styleId="MarginEdition">
    <w:name w:val="Margin Edition"/>
    <w:basedOn w:val="MarginNote"/>
    <w:rsid w:val="00D14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B6E"/>
    <w:rPr>
      <w:sz w:val="2"/>
      <w:szCs w:val="2"/>
    </w:rPr>
  </w:style>
  <w:style w:type="character" w:customStyle="1" w:styleId="Small">
    <w:name w:val="Small"/>
    <w:basedOn w:val="DefaultParagraphFont"/>
    <w:rsid w:val="00D14B6E"/>
    <w:rPr>
      <w:sz w:val="16"/>
    </w:rPr>
  </w:style>
  <w:style w:type="paragraph" w:customStyle="1" w:styleId="WideTable">
    <w:name w:val="Wide Table"/>
    <w:basedOn w:val="Normal"/>
    <w:rsid w:val="00D14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B6E"/>
  </w:style>
  <w:style w:type="paragraph" w:styleId="Quote">
    <w:name w:val="Quote"/>
    <w:basedOn w:val="Heading1"/>
    <w:link w:val="QuoteChar"/>
    <w:qFormat/>
    <w:rsid w:val="00D14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B6E"/>
    <w:pPr>
      <w:pageBreakBefore/>
    </w:pPr>
  </w:style>
  <w:style w:type="paragraph" w:customStyle="1" w:styleId="Border">
    <w:name w:val="Border"/>
    <w:basedOn w:val="Normal"/>
    <w:qFormat/>
    <w:rsid w:val="00D14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B6E"/>
    <w:rPr>
      <w:u w:val="single"/>
    </w:rPr>
  </w:style>
  <w:style w:type="character" w:customStyle="1" w:styleId="BoldandItalics">
    <w:name w:val="Bold and Italics"/>
    <w:qFormat/>
    <w:rsid w:val="00D14B6E"/>
    <w:rPr>
      <w:b/>
      <w:i/>
      <w:u w:val="none"/>
    </w:rPr>
  </w:style>
  <w:style w:type="paragraph" w:styleId="BalloonText">
    <w:name w:val="Balloon Text"/>
    <w:basedOn w:val="Normal"/>
    <w:link w:val="BalloonTextChar"/>
    <w:rsid w:val="00D14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B6E"/>
    <w:pPr>
      <w:spacing w:before="0" w:after="0"/>
    </w:pPr>
  </w:style>
  <w:style w:type="paragraph" w:customStyle="1" w:styleId="BodyTextBold">
    <w:name w:val="Body Text Bold"/>
    <w:basedOn w:val="BodyText"/>
    <w:qFormat/>
    <w:rsid w:val="00D14B6E"/>
    <w:rPr>
      <w:b/>
    </w:rPr>
  </w:style>
  <w:style w:type="character" w:styleId="Hyperlink">
    <w:name w:val="Hyperlink"/>
    <w:basedOn w:val="DefaultParagraphFont"/>
    <w:uiPriority w:val="99"/>
    <w:unhideWhenUsed/>
    <w:rsid w:val="00E86E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5117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RIIMSM304D Inspect small mines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2021-01-25T10:49:00Z</dcterms:created>
  <dcterms:modified xsi:type="dcterms:W3CDTF">2021-01-25T10:49:00Z</dcterms:modified>
</cp:coreProperties>
</file>