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D4D" w:rsidP="00FD0D4D">
      <w:pPr>
        <w:pStyle w:val="Title"/>
      </w:pPr>
      <w:r>
        <w:fldChar w:fldCharType="begin"/>
      </w:r>
      <w:r>
        <w:instrText xml:space="preserve"> TITLE   \* MERGEFORMAT </w:instrText>
      </w:r>
      <w:r>
        <w:fldChar w:fldCharType="separate"/>
      </w:r>
      <w:r>
        <w:t>Assessment Requirements for RIIMPO328E Conduct continuous bucket trencher operations</w:t>
      </w:r>
      <w:r>
        <w:fldChar w:fldCharType="end"/>
      </w:r>
    </w:p>
    <w:p w:rsidR="00FD0D4D" w:rsidP="00FD0D4D">
      <w:pPr>
        <w:pStyle w:val="Version"/>
        <w:sectPr w:rsidSect="003856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56E2" w:rsidP="003856E2">
      <w:pPr>
        <w:pStyle w:val="SuperHeading"/>
      </w:pPr>
      <w:r w:rsidRPr="003856E2">
        <w:t>Assessment Requirements for RIIMPO328E Conduct continuous bucket trencher operations</w:t>
      </w:r>
    </w:p>
    <w:p w:rsidR="00000000" w:rsidRPr="003856E2" w:rsidP="003856E2">
      <w:pPr>
        <w:pStyle w:val="Heading1"/>
      </w:pPr>
      <w:bookmarkStart w:id="1" w:name="O_1202228"/>
      <w:bookmarkEnd w:id="1"/>
      <w:r w:rsidRPr="003856E2">
        <w:t>Modification History</w:t>
      </w:r>
    </w:p>
    <w:tbl>
      <w:tblPr>
        <w:tblW w:w="0" w:type="auto"/>
        <w:tblLayout w:type="fixed"/>
        <w:tblCellMar>
          <w:left w:w="62" w:type="dxa"/>
          <w:right w:w="62" w:type="dxa"/>
        </w:tblCellMar>
        <w:tblLook w:val="0000"/>
      </w:tblPr>
      <w:tblGrid>
        <w:gridCol w:w="2560"/>
        <w:gridCol w:w="6337"/>
      </w:tblGrid>
      <w:tr w:rsidTr="00FD0D4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6E2" w:rsidP="003856E2">
            <w:pPr>
              <w:pStyle w:val="BodyText"/>
            </w:pPr>
            <w:r w:rsidRPr="003856E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6E2">
            <w:pPr>
              <w:pStyle w:val="BodyText"/>
              <w:rPr>
                <w:lang w:val="en-NZ"/>
              </w:rPr>
            </w:pPr>
            <w:r w:rsidRPr="003856E2">
              <w:rPr>
                <w:rStyle w:val="SpecialBold"/>
              </w:rPr>
              <w:t>Comments</w:t>
            </w:r>
          </w:p>
        </w:tc>
      </w:tr>
      <w:tr w:rsidTr="00FD0D4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6E2">
            <w:pPr>
              <w:pStyle w:val="BodyText"/>
              <w:rPr>
                <w:lang w:val="en-NZ"/>
              </w:rPr>
            </w:pPr>
            <w:r w:rsidRPr="003856E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6E2">
            <w:pPr>
              <w:pStyle w:val="BodyText"/>
              <w:rPr>
                <w:lang w:val="en-NZ"/>
              </w:rPr>
            </w:pPr>
            <w:r w:rsidRPr="003856E2">
              <w:t>This version first released with RII Resources and Infrastructure Industry Training Package Version 3.0.</w:t>
            </w:r>
          </w:p>
        </w:tc>
      </w:tr>
      <w:tr w:rsidTr="00FD0D4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6E2">
            <w:pPr>
              <w:pStyle w:val="BodyText"/>
              <w:rPr>
                <w:lang w:val="en-NZ"/>
              </w:rPr>
            </w:pPr>
            <w:r w:rsidRPr="003856E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6E2" w:rsidP="003856E2">
            <w:pPr>
              <w:pStyle w:val="BodyText"/>
            </w:pPr>
            <w:r w:rsidRPr="003856E2">
              <w:t>Editorial and other amendments made to clarify requirements in Application and Performance Criteria 4.3.</w:t>
            </w:r>
          </w:p>
        </w:tc>
      </w:tr>
    </w:tbl>
    <w:p w:rsidR="00FD0D4D" w:rsidP="003856E2">
      <w:pPr>
        <w:pStyle w:val="BodyText"/>
      </w:pPr>
    </w:p>
    <w:p w:rsidR="00FD0D4D" w:rsidP="003856E2">
      <w:pPr>
        <w:pStyle w:val="BodyText"/>
      </w:pPr>
    </w:p>
    <w:p w:rsidR="00000000" w:rsidRPr="003856E2" w:rsidP="003856E2">
      <w:pPr>
        <w:pStyle w:val="Heading1"/>
      </w:pPr>
      <w:bookmarkStart w:id="2" w:name="O_1202227"/>
      <w:bookmarkEnd w:id="2"/>
      <w:r w:rsidRPr="003856E2">
        <w:t>Performance E</w:t>
      </w:r>
      <w:r w:rsidRPr="003856E2">
        <w:t>vidence</w:t>
      </w:r>
    </w:p>
    <w:p w:rsidR="00000000" w:rsidRPr="003856E2" w:rsidP="00FD0D4D">
      <w:pPr>
        <w:pStyle w:val="BodyText"/>
      </w:pPr>
      <w:r w:rsidRPr="003856E2">
        <w:t>The candidate must demonstrate the ability to complete the tasks outlined in the elements and performance criteria of this unit.</w:t>
      </w:r>
    </w:p>
    <w:p w:rsidR="00000000" w:rsidRPr="003856E2" w:rsidP="00FD0D4D">
      <w:pPr>
        <w:pStyle w:val="BodyText"/>
      </w:pPr>
      <w:r w:rsidRPr="003856E2">
        <w:t>The candidate must demonstrate completion of continuous bucket trencher operations that safely, effectively and efficie</w:t>
      </w:r>
      <w:r w:rsidRPr="003856E2">
        <w:t>ntly follows workplace procedures to carry out work activity meet required outcomes on at least two occasions, and include:</w:t>
      </w:r>
    </w:p>
    <w:p w:rsidR="00000000" w:rsidRPr="003856E2" w:rsidP="003856E2">
      <w:pPr>
        <w:pStyle w:val="ListBullet"/>
      </w:pPr>
      <w:r w:rsidRPr="003856E2">
        <w:t>conducting prestart checks prior to commencing operations and shutdown procedures on completion of operations</w:t>
      </w:r>
    </w:p>
    <w:p w:rsidR="00000000" w:rsidRPr="003856E2" w:rsidP="003856E2">
      <w:pPr>
        <w:pStyle w:val="ListBullet"/>
      </w:pPr>
      <w:r w:rsidRPr="003856E2">
        <w:t>operat</w:t>
      </w:r>
      <w:r w:rsidRPr="003856E2">
        <w:t xml:space="preserve">ing a trenching machine in a straight line for 200m to line, level and specified depth </w:t>
      </w:r>
    </w:p>
    <w:p w:rsidR="00000000" w:rsidRPr="003856E2" w:rsidP="003856E2">
      <w:pPr>
        <w:pStyle w:val="ListBullet"/>
      </w:pPr>
      <w:r w:rsidRPr="003856E2">
        <w:t xml:space="preserve">completing of trenches/drains cleared to width and depth according to plan </w:t>
      </w:r>
    </w:p>
    <w:p w:rsidR="00000000" w:rsidRPr="003856E2" w:rsidP="003856E2">
      <w:pPr>
        <w:pStyle w:val="ListBullet"/>
      </w:pPr>
      <w:r w:rsidRPr="003856E2">
        <w:t>selecting and fitting, using and removing an attachment</w:t>
      </w:r>
    </w:p>
    <w:p w:rsidR="00000000" w:rsidRPr="003856E2" w:rsidP="003856E2">
      <w:pPr>
        <w:pStyle w:val="ListBullet"/>
      </w:pPr>
      <w:r w:rsidRPr="003856E2">
        <w:t>driving and operating continuous buc</w:t>
      </w:r>
      <w:r w:rsidRPr="003856E2">
        <w:t>ket trencher and adjusting techniques to suit site conditions</w:t>
      </w:r>
    </w:p>
    <w:p w:rsidR="00000000" w:rsidRPr="003856E2" w:rsidP="003856E2">
      <w:pPr>
        <w:pStyle w:val="ListBullet"/>
      </w:pPr>
      <w:r w:rsidRPr="003856E2">
        <w:t>parking and securing of equipment</w:t>
      </w:r>
    </w:p>
    <w:p w:rsidR="00000000" w:rsidRPr="003856E2" w:rsidP="003856E2">
      <w:pPr>
        <w:pStyle w:val="ListBullet"/>
      </w:pPr>
      <w:r w:rsidRPr="003856E2">
        <w:t>assisting with loading and unloading continuous bucket trencher from float/trailer</w:t>
      </w:r>
    </w:p>
    <w:p w:rsidR="00000000" w:rsidRPr="003856E2" w:rsidP="00FD0D4D">
      <w:pPr>
        <w:pStyle w:val="BodyText"/>
      </w:pPr>
      <w:r w:rsidRPr="003856E2">
        <w:t>In the course of the above work the candidate must also:</w:t>
      </w:r>
    </w:p>
    <w:p w:rsidR="00000000" w:rsidRPr="003856E2" w:rsidP="003856E2">
      <w:pPr>
        <w:pStyle w:val="ListBullet"/>
      </w:pPr>
      <w:r w:rsidRPr="003856E2">
        <w:t>locate and apply re</w:t>
      </w:r>
      <w:r w:rsidRPr="003856E2">
        <w:t>levant documentation, policies and procedures</w:t>
      </w:r>
    </w:p>
    <w:p w:rsidR="00000000" w:rsidRPr="003856E2" w:rsidP="003856E2">
      <w:pPr>
        <w:pStyle w:val="ListBullet"/>
      </w:pPr>
      <w:r w:rsidRPr="003856E2">
        <w:t>select and wear personal protective equipment required for work activities</w:t>
      </w:r>
    </w:p>
    <w:p w:rsidR="00000000" w:rsidRPr="003856E2" w:rsidP="003856E2">
      <w:pPr>
        <w:pStyle w:val="ListBullet"/>
      </w:pPr>
      <w:r w:rsidRPr="003856E2">
        <w:t>carry out vehicle refuelling requirements and procedures where applicable</w:t>
      </w:r>
    </w:p>
    <w:p w:rsidR="00000000" w:rsidRPr="003856E2" w:rsidP="003856E2">
      <w:pPr>
        <w:pStyle w:val="ListBullet2"/>
      </w:pPr>
      <w:r w:rsidRPr="003856E2">
        <w:t>apply safe work practices, identifying and reporting all pot</w:t>
      </w:r>
      <w:r w:rsidRPr="003856E2">
        <w:t>ential hazards, risks and environmental issues</w:t>
      </w:r>
    </w:p>
    <w:p w:rsidR="00000000" w:rsidRPr="003856E2" w:rsidP="003856E2">
      <w:pPr>
        <w:pStyle w:val="ListBullet2"/>
      </w:pPr>
      <w:r w:rsidRPr="003856E2">
        <w:t>apply problem solving and troubleshooting techniques when operating equipment</w:t>
      </w:r>
    </w:p>
    <w:p w:rsidR="00000000" w:rsidRPr="003856E2" w:rsidP="003856E2">
      <w:pPr>
        <w:pStyle w:val="ListBullet2"/>
      </w:pPr>
      <w:r w:rsidRPr="003856E2">
        <w:t>select and use the required tools and equipment</w:t>
      </w:r>
    </w:p>
    <w:p w:rsidR="00000000" w:rsidRPr="003856E2" w:rsidP="003856E2">
      <w:pPr>
        <w:pStyle w:val="ListBullet2"/>
      </w:pPr>
      <w:r w:rsidRPr="003856E2">
        <w:t>work safely around other machines and personnel</w:t>
      </w:r>
    </w:p>
    <w:p w:rsidR="00000000" w:rsidRPr="003856E2" w:rsidP="003856E2">
      <w:pPr>
        <w:pStyle w:val="ListBullet2"/>
      </w:pPr>
      <w:r w:rsidRPr="003856E2">
        <w:t>apply methods of changing machine attachments</w:t>
      </w:r>
    </w:p>
    <w:p w:rsidR="00000000" w:rsidRPr="003856E2" w:rsidP="003856E2">
      <w:pPr>
        <w:pStyle w:val="ListBullet2"/>
      </w:pPr>
      <w:r w:rsidRPr="003856E2">
        <w:t>inspect and prepare work area</w:t>
      </w:r>
    </w:p>
    <w:p w:rsidR="00000000" w:rsidRPr="003856E2" w:rsidP="003856E2">
      <w:pPr>
        <w:pStyle w:val="ListBullet2"/>
      </w:pPr>
      <w:r w:rsidRPr="003856E2">
        <w:t>identify common equipment faults</w:t>
      </w:r>
    </w:p>
    <w:p w:rsidR="00000000" w:rsidRPr="003856E2" w:rsidP="003856E2">
      <w:pPr>
        <w:pStyle w:val="ListBullet2"/>
      </w:pPr>
      <w:r w:rsidRPr="003856E2">
        <w:t>monitor and manage equipment performance using indicators and alarms</w:t>
      </w:r>
    </w:p>
    <w:p w:rsidR="00000000" w:rsidRPr="003856E2" w:rsidP="003856E2">
      <w:pPr>
        <w:pStyle w:val="ListBullet2"/>
      </w:pPr>
      <w:r w:rsidRPr="003856E2">
        <w:t>manage changes in the loads centre of gravity during transportation</w:t>
      </w:r>
    </w:p>
    <w:p w:rsidR="00000000" w:rsidRPr="003856E2" w:rsidP="003856E2">
      <w:pPr>
        <w:pStyle w:val="ListBullet2"/>
      </w:pPr>
      <w:r w:rsidRPr="003856E2">
        <w:t>use a rang</w:t>
      </w:r>
      <w:r w:rsidRPr="003856E2">
        <w:t>e of communications techniques and equipment essential to the safe completion of work instruction, including hand, audible and other signals</w:t>
      </w:r>
    </w:p>
    <w:p w:rsidR="00FD0D4D" w:rsidP="003856E2">
      <w:pPr>
        <w:pStyle w:val="ListBullet2"/>
      </w:pPr>
      <w:r w:rsidRPr="003856E2">
        <w:t>meet written and verbal reporting requirements and procedures associated with continuous bucket trencher operations</w:t>
      </w:r>
    </w:p>
    <w:p w:rsidR="00FD0D4D" w:rsidP="003856E2">
      <w:pPr>
        <w:pStyle w:val="ListBullet2"/>
      </w:pPr>
    </w:p>
    <w:p w:rsidR="00000000" w:rsidRPr="003856E2" w:rsidP="003856E2">
      <w:pPr>
        <w:pStyle w:val="Heading1"/>
      </w:pPr>
      <w:bookmarkStart w:id="3" w:name="O_1202226"/>
      <w:bookmarkEnd w:id="3"/>
      <w:r w:rsidRPr="003856E2">
        <w:t>Knowledge Evidence</w:t>
      </w:r>
    </w:p>
    <w:p w:rsidR="00000000" w:rsidRPr="003856E2" w:rsidP="00FD0D4D">
      <w:pPr>
        <w:pStyle w:val="BodyText"/>
      </w:pPr>
      <w:r w:rsidRPr="003856E2">
        <w:t>The candidate must be able to demonstrate knowledge to complete the tasks outlined in the elements and performance criteria of this unit. This includes:</w:t>
      </w:r>
    </w:p>
    <w:p w:rsidR="00000000" w:rsidRPr="003856E2" w:rsidP="00FD0D4D">
      <w:pPr>
        <w:pStyle w:val="BodyText"/>
      </w:pPr>
      <w:r w:rsidRPr="003856E2">
        <w:t>Key policies and procedures, legislation and established requir</w:t>
      </w:r>
      <w:r w:rsidRPr="003856E2">
        <w:t>ements for continuous bucket trencher operation without attachments, including those relating to:</w:t>
      </w:r>
    </w:p>
    <w:p w:rsidR="00000000" w:rsidRPr="003856E2" w:rsidP="003856E2">
      <w:pPr>
        <w:pStyle w:val="ListBullet"/>
      </w:pPr>
      <w:r w:rsidRPr="003856E2">
        <w:t>fires, accidents and emergencies</w:t>
      </w:r>
    </w:p>
    <w:p w:rsidR="00000000" w:rsidRPr="003856E2" w:rsidP="003856E2">
      <w:pPr>
        <w:pStyle w:val="ListBullet"/>
      </w:pPr>
      <w:r w:rsidRPr="003856E2">
        <w:t>work health and safety, including signs of operator fatigue and how it should be managed</w:t>
      </w:r>
    </w:p>
    <w:p w:rsidR="00000000" w:rsidRPr="003856E2" w:rsidP="003856E2">
      <w:pPr>
        <w:pStyle w:val="ListBullet"/>
      </w:pPr>
      <w:r w:rsidRPr="003856E2">
        <w:t>site isolation</w:t>
      </w:r>
    </w:p>
    <w:p w:rsidR="00000000" w:rsidRPr="003856E2" w:rsidP="003856E2">
      <w:pPr>
        <w:pStyle w:val="ListBullet"/>
      </w:pPr>
      <w:r w:rsidRPr="003856E2">
        <w:t>project quality requirements</w:t>
      </w:r>
    </w:p>
    <w:p w:rsidR="00000000" w:rsidRPr="003856E2" w:rsidP="003856E2">
      <w:pPr>
        <w:pStyle w:val="ListBullet"/>
      </w:pPr>
      <w:r w:rsidRPr="003856E2">
        <w:t>maintenance and basic diagnostics</w:t>
      </w:r>
    </w:p>
    <w:p w:rsidR="00000000" w:rsidRPr="003856E2" w:rsidP="003856E2">
      <w:pPr>
        <w:pStyle w:val="ListBullet"/>
      </w:pPr>
      <w:r w:rsidRPr="003856E2">
        <w:t>housekeeping activities</w:t>
      </w:r>
    </w:p>
    <w:p w:rsidR="00000000" w:rsidRPr="003856E2" w:rsidP="003856E2">
      <w:pPr>
        <w:pStyle w:val="ListBullet"/>
      </w:pPr>
      <w:r w:rsidRPr="003856E2">
        <w:t>recycling materials</w:t>
      </w:r>
    </w:p>
    <w:p w:rsidR="00000000" w:rsidRPr="003856E2" w:rsidP="003856E2">
      <w:pPr>
        <w:pStyle w:val="ListBullet"/>
      </w:pPr>
      <w:r w:rsidRPr="003856E2">
        <w:t xml:space="preserve">chain of responsibility for loading and unloading of equipment </w:t>
      </w:r>
    </w:p>
    <w:p w:rsidR="00000000" w:rsidRPr="003856E2" w:rsidP="00FD0D4D">
      <w:pPr>
        <w:pStyle w:val="BodyText"/>
      </w:pPr>
      <w:r w:rsidRPr="003856E2">
        <w:t>Key factors affecting work activities described in performance evidence above, includ</w:t>
      </w:r>
      <w:r w:rsidRPr="003856E2">
        <w:t>ing:</w:t>
      </w:r>
    </w:p>
    <w:p w:rsidR="00000000" w:rsidRPr="003856E2" w:rsidP="003856E2">
      <w:pPr>
        <w:pStyle w:val="ListBullet"/>
      </w:pPr>
      <w:r w:rsidRPr="003856E2">
        <w:t>technical capabilities and limitations</w:t>
      </w:r>
    </w:p>
    <w:p w:rsidR="00000000" w:rsidRPr="003856E2" w:rsidP="003856E2">
      <w:pPr>
        <w:pStyle w:val="ListBullet"/>
      </w:pPr>
      <w:r w:rsidRPr="003856E2">
        <w:t>equipment specifications</w:t>
      </w:r>
    </w:p>
    <w:p w:rsidR="00000000" w:rsidRPr="003856E2" w:rsidP="003856E2">
      <w:pPr>
        <w:pStyle w:val="ListBullet"/>
      </w:pPr>
      <w:r w:rsidRPr="003856E2">
        <w:t>ground conditions</w:t>
      </w:r>
    </w:p>
    <w:p w:rsidR="00000000" w:rsidRPr="003856E2" w:rsidP="003856E2">
      <w:pPr>
        <w:pStyle w:val="ListBullet"/>
      </w:pPr>
      <w:r w:rsidRPr="003856E2">
        <w:t>materials characteristics, including density and viscosity</w:t>
      </w:r>
    </w:p>
    <w:p w:rsidR="00000000" w:rsidRPr="003856E2" w:rsidP="00FD0D4D">
      <w:pPr>
        <w:pStyle w:val="Heading3"/>
      </w:pPr>
      <w:r w:rsidRPr="003856E2">
        <w:t>Key features associated with civil construction works, including</w:t>
      </w:r>
    </w:p>
    <w:p w:rsidR="00000000" w:rsidRPr="003856E2" w:rsidP="003856E2">
      <w:pPr>
        <w:pStyle w:val="ListBullet"/>
      </w:pPr>
      <w:r w:rsidRPr="003856E2">
        <w:t>terminology</w:t>
      </w:r>
    </w:p>
    <w:p w:rsidR="00000000" w:rsidRPr="003856E2" w:rsidP="003856E2">
      <w:pPr>
        <w:pStyle w:val="ListBullet"/>
      </w:pPr>
      <w:r w:rsidRPr="003856E2">
        <w:t>activity sequences of road cons</w:t>
      </w:r>
      <w:r w:rsidRPr="003856E2">
        <w:t>truction, earthworks and drainage</w:t>
      </w:r>
    </w:p>
    <w:p w:rsidR="00000000" w:rsidRPr="003856E2" w:rsidP="003856E2">
      <w:pPr>
        <w:pStyle w:val="ListBullet"/>
      </w:pPr>
      <w:r w:rsidRPr="003856E2">
        <w:t>basic earthworks calculations</w:t>
      </w:r>
    </w:p>
    <w:p w:rsidR="00000000" w:rsidRPr="003856E2" w:rsidP="003856E2">
      <w:pPr>
        <w:pStyle w:val="ListBullet"/>
      </w:pPr>
      <w:r w:rsidRPr="003856E2">
        <w:t>principles of materials technology and materials compaction</w:t>
      </w:r>
    </w:p>
    <w:p w:rsidR="00FD0D4D" w:rsidP="003856E2">
      <w:pPr>
        <w:pStyle w:val="ListBullet"/>
      </w:pPr>
      <w:r w:rsidRPr="003856E2">
        <w:t>drawings and sketches</w:t>
      </w:r>
    </w:p>
    <w:p w:rsidR="00FD0D4D" w:rsidP="003856E2">
      <w:pPr>
        <w:pStyle w:val="ListBullet"/>
      </w:pPr>
    </w:p>
    <w:p w:rsidR="00000000" w:rsidRPr="003856E2" w:rsidP="003856E2">
      <w:pPr>
        <w:pStyle w:val="Heading1"/>
      </w:pPr>
      <w:bookmarkStart w:id="4" w:name="O_1202225"/>
      <w:bookmarkEnd w:id="4"/>
      <w:r w:rsidRPr="003856E2">
        <w:t>Assessment Conditions</w:t>
      </w:r>
    </w:p>
    <w:p w:rsidR="00000000" w:rsidRPr="003856E2" w:rsidP="00FD0D4D">
      <w:pPr>
        <w:pStyle w:val="BodyText"/>
      </w:pPr>
      <w:r w:rsidRPr="003856E2">
        <w:t>Mandatory conditions for assessment of this unit are stipulated below. The assessment must:</w:t>
      </w:r>
    </w:p>
    <w:p w:rsidR="00000000" w:rsidRPr="003856E2" w:rsidP="003856E2">
      <w:pPr>
        <w:pStyle w:val="ListBullet"/>
      </w:pPr>
      <w:r w:rsidRPr="003856E2">
        <w:t>include access to:</w:t>
      </w:r>
    </w:p>
    <w:p w:rsidR="00000000" w:rsidRPr="003856E2" w:rsidP="003856E2">
      <w:pPr>
        <w:pStyle w:val="ListBullet2"/>
      </w:pPr>
      <w:r w:rsidRPr="003856E2">
        <w:t>a bucket trencher</w:t>
      </w:r>
    </w:p>
    <w:p w:rsidR="00000000" w:rsidRPr="003856E2" w:rsidP="003856E2">
      <w:pPr>
        <w:pStyle w:val="ListBullet2"/>
      </w:pPr>
      <w:r w:rsidRPr="003856E2">
        <w:t>attachments</w:t>
      </w:r>
    </w:p>
    <w:p w:rsidR="00000000" w:rsidRPr="003856E2" w:rsidP="003856E2">
      <w:pPr>
        <w:pStyle w:val="ListBullet2"/>
      </w:pPr>
      <w:r w:rsidRPr="003856E2">
        <w:t>personal protective equipment</w:t>
      </w:r>
    </w:p>
    <w:p w:rsidR="00000000" w:rsidRPr="003856E2" w:rsidP="003856E2">
      <w:pPr>
        <w:pStyle w:val="ListBullet"/>
      </w:pPr>
      <w:r w:rsidRPr="003856E2">
        <w:t xml:space="preserve">be conducted in a safe environment; and, </w:t>
      </w:r>
    </w:p>
    <w:p w:rsidR="00000000" w:rsidRPr="003856E2" w:rsidP="003856E2">
      <w:pPr>
        <w:pStyle w:val="ListBullet"/>
      </w:pPr>
      <w:r w:rsidRPr="003856E2">
        <w:t>be assessed in context of this sector</w:t>
      </w:r>
      <w:r>
        <w:t>’</w:t>
      </w:r>
      <w:r w:rsidRPr="003856E2">
        <w:t xml:space="preserve">s </w:t>
      </w:r>
      <w:r w:rsidRPr="003856E2">
        <w:t xml:space="preserve">work environment; and, </w:t>
      </w:r>
    </w:p>
    <w:p w:rsidR="00000000" w:rsidRPr="003856E2" w:rsidP="003856E2">
      <w:pPr>
        <w:pStyle w:val="ListBullet"/>
      </w:pPr>
      <w:r w:rsidRPr="003856E2">
        <w:t>be assessed in compliance with relevant legislation/regulation and using policies, procedures, processes and operational manuals directly related to the industry sector for which it is being assessed; and,</w:t>
      </w:r>
    </w:p>
    <w:p w:rsidR="00000000" w:rsidRPr="003856E2" w:rsidP="003856E2">
      <w:pPr>
        <w:pStyle w:val="ListBullet"/>
      </w:pPr>
      <w:r w:rsidRPr="003856E2">
        <w:t>confirm consistent perform</w:t>
      </w:r>
      <w:r w:rsidRPr="003856E2">
        <w:t>ance can be applied in a range of relevant workplace circumstances</w:t>
      </w:r>
    </w:p>
    <w:p w:rsidR="00000000" w:rsidRPr="003856E2" w:rsidP="00FD0D4D">
      <w:pPr>
        <w:pStyle w:val="BodyText"/>
      </w:pPr>
      <w:r w:rsidRPr="003856E2">
        <w:t>Where personal safety or environmental damage are limiting factors, assessment may occur in a simulated work environment* provided it is realistic and sufficiently rigorous to cover all asp</w:t>
      </w:r>
      <w:r w:rsidRPr="003856E2">
        <w:t>ects of this sector’s workplace performance, including environment, task skills, task management skills, contingency management skills and job role environment skills.</w:t>
      </w:r>
    </w:p>
    <w:p w:rsidR="00000000" w:rsidRPr="003856E2" w:rsidP="00FD0D4D">
      <w:pPr>
        <w:pStyle w:val="Heading3"/>
      </w:pPr>
      <w:r w:rsidRPr="003856E2">
        <w:rPr>
          <w:rStyle w:val="SpecialBold"/>
        </w:rPr>
        <w:t>Assessor requirements</w:t>
      </w:r>
    </w:p>
    <w:p w:rsidR="00000000" w:rsidRPr="003856E2" w:rsidP="00FD0D4D">
      <w:pPr>
        <w:pStyle w:val="BodyText"/>
      </w:pPr>
      <w:r w:rsidRPr="003856E2">
        <w:t>Assessors must be able to clearly demonstrate current and relevant</w:t>
      </w:r>
      <w:r w:rsidRPr="003856E2">
        <w:t xml:space="preserve"> industry knowledge and experience to satisfy the mandatory competency standards as set out in the Standards for Registered Training Organisations (RTOs) 2015/AQTF mandatory requirements for assessors current at the time of assessment and any relevant lice</w:t>
      </w:r>
      <w:r w:rsidRPr="003856E2">
        <w:t>nsing and certification requirements. This includes:</w:t>
      </w:r>
    </w:p>
    <w:p w:rsidR="00000000" w:rsidRPr="003856E2" w:rsidP="003856E2">
      <w:pPr>
        <w:pStyle w:val="ListBullet"/>
      </w:pPr>
      <w:r w:rsidRPr="003856E2">
        <w:t>vocational competencies at least to the level being delivered and assessed</w:t>
      </w:r>
    </w:p>
    <w:p w:rsidR="00000000" w:rsidRPr="003856E2" w:rsidP="003856E2">
      <w:pPr>
        <w:pStyle w:val="ListBullet"/>
      </w:pPr>
      <w:r w:rsidRPr="003856E2">
        <w:t>current industry skills directly relevant to the training and assessment being provided</w:t>
      </w:r>
    </w:p>
    <w:p w:rsidR="00000000" w:rsidRPr="003856E2" w:rsidP="003856E2">
      <w:pPr>
        <w:pStyle w:val="ListBullet"/>
      </w:pPr>
      <w:r w:rsidRPr="003856E2">
        <w:t>current knowledge and skills in vocational training and learning that informs their training and assessment</w:t>
      </w:r>
    </w:p>
    <w:p w:rsidR="00000000" w:rsidRPr="003856E2" w:rsidP="003856E2">
      <w:pPr>
        <w:pStyle w:val="ListBullet"/>
      </w:pPr>
      <w:r w:rsidRPr="003856E2">
        <w:t>formal relevant qualifications in training and assessment</w:t>
      </w:r>
    </w:p>
    <w:p w:rsidR="00000000" w:rsidRPr="003856E2" w:rsidP="003856E2">
      <w:pPr>
        <w:pStyle w:val="ListBullet"/>
      </w:pPr>
      <w:r w:rsidRPr="003856E2">
        <w:t>having knowledge of and/or experience using the latest techniques and processes</w:t>
      </w:r>
    </w:p>
    <w:p w:rsidR="00000000" w:rsidRPr="003856E2" w:rsidP="003856E2">
      <w:pPr>
        <w:pStyle w:val="ListBullet"/>
      </w:pPr>
      <w:r w:rsidRPr="003856E2">
        <w:t>possessing</w:t>
      </w:r>
      <w:r w:rsidRPr="003856E2">
        <w:t xml:space="preserve"> a high level of RII training product knowledge</w:t>
      </w:r>
    </w:p>
    <w:p w:rsidR="00000000" w:rsidRPr="003856E2" w:rsidP="003856E2">
      <w:pPr>
        <w:pStyle w:val="ListBullet"/>
      </w:pPr>
      <w:r w:rsidRPr="003856E2">
        <w:t>having an understanding and knowledge of legislations and regulations relevant to the industry and to employment and workplaces</w:t>
      </w:r>
    </w:p>
    <w:p w:rsidR="00000000" w:rsidRPr="003856E2" w:rsidP="003856E2">
      <w:pPr>
        <w:pStyle w:val="ListBullet"/>
      </w:pPr>
      <w:r w:rsidRPr="003856E2">
        <w:t>demonstrating the performance evidence, and knowledge evidence as outlined in th</w:t>
      </w:r>
      <w:r w:rsidRPr="003856E2">
        <w:t xml:space="preserve">is Unit of Competency, and </w:t>
      </w:r>
    </w:p>
    <w:p w:rsidR="00000000" w:rsidRPr="003856E2" w:rsidP="003856E2">
      <w:pPr>
        <w:pStyle w:val="ListBullet"/>
      </w:pPr>
      <w:r w:rsidRPr="003856E2">
        <w:t>the minimum years of current** work experience specified below after competency has been obtained as in an industry sector relevant to the outcomes of the unit.</w:t>
      </w:r>
    </w:p>
    <w:p w:rsidR="00000000" w:rsidRPr="003856E2" w:rsidP="00FD0D4D">
      <w:pPr>
        <w:pStyle w:val="BodyText"/>
      </w:pPr>
      <w:r w:rsidRPr="003856E2">
        <w:t>It is also acceptable for the appropriately qualified assessor to w</w:t>
      </w:r>
      <w:r w:rsidRPr="003856E2">
        <w:t xml:space="preserve">ork with an industry expert to conduct assessment together and for the industry expert to be involved in the assessment judgement. The industry expert must hold the relevant vocational competencies and have current industry skills directly relevant to the </w:t>
      </w:r>
      <w:r w:rsidRPr="003856E2">
        <w:t xml:space="preserve">training and assessment being provided and must work alongside a trainer and/or assessor to conduct the assessment. This means the industry subject matter expert should hold the unit being assessed (or an equivalent unit), and must also demonstrate skills </w:t>
      </w:r>
      <w:r w:rsidRPr="003856E2">
        <w:t>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3856E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Heading4"/>
              <w:rPr>
                <w:lang w:val="en-NZ"/>
              </w:rPr>
            </w:pPr>
            <w:r w:rsidRPr="003856E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Heading4"/>
              <w:rPr>
                <w:lang w:val="en-NZ"/>
              </w:rPr>
            </w:pPr>
            <w:r w:rsidRPr="003856E2">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Heading4"/>
              <w:rPr>
                <w:lang w:val="en-NZ"/>
              </w:rPr>
            </w:pPr>
            <w:r w:rsidRPr="003856E2">
              <w:t>Required assessor or industry s</w:t>
            </w:r>
            <w:r w:rsidRPr="003856E2">
              <w:t>ubject matter expert experience</w:t>
            </w:r>
          </w:p>
        </w:tc>
      </w:tr>
      <w:tr w:rsidTr="003856E2">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BodyText"/>
              <w:rPr>
                <w:lang w:val="en-NZ"/>
              </w:rPr>
            </w:pPr>
            <w:r w:rsidRPr="003856E2">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BodyText"/>
              <w:rPr>
                <w:lang w:val="en-NZ"/>
              </w:rPr>
            </w:pPr>
            <w:r w:rsidRPr="003856E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BodyText"/>
              <w:rPr>
                <w:lang w:val="en-NZ"/>
              </w:rPr>
            </w:pPr>
            <w:r w:rsidRPr="003856E2">
              <w:t>1 Year</w:t>
            </w:r>
          </w:p>
        </w:tc>
      </w:tr>
      <w:tr w:rsidTr="003856E2">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BodyText"/>
              <w:rPr>
                <w:lang w:val="en-NZ"/>
              </w:rPr>
            </w:pPr>
            <w:r w:rsidRPr="003856E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BodyText"/>
              <w:rPr>
                <w:lang w:val="en-NZ"/>
              </w:rPr>
            </w:pPr>
            <w:r w:rsidRPr="003856E2">
              <w:t>2 Years</w:t>
            </w:r>
          </w:p>
        </w:tc>
      </w:tr>
      <w:tr w:rsidTr="003856E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BodyText"/>
              <w:rPr>
                <w:lang w:val="en-NZ"/>
              </w:rPr>
            </w:pPr>
            <w:r w:rsidRPr="003856E2">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BodyText"/>
              <w:rPr>
                <w:lang w:val="en-NZ"/>
              </w:rPr>
            </w:pPr>
            <w:r w:rsidRPr="003856E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BodyText"/>
              <w:rPr>
                <w:lang w:val="en-NZ"/>
              </w:rPr>
            </w:pPr>
            <w:r w:rsidRPr="003856E2">
              <w:t>3 Years</w:t>
            </w:r>
          </w:p>
        </w:tc>
      </w:tr>
      <w:tr w:rsidTr="003856E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6E2">
            <w:pPr>
              <w:pStyle w:val="BodyText"/>
              <w:rPr>
                <w:lang w:val="en-NZ"/>
              </w:rPr>
            </w:pPr>
            <w:r w:rsidRPr="003856E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56E2" w:rsidP="003856E2">
            <w:pPr>
              <w:pStyle w:val="BodyText"/>
            </w:pPr>
            <w:r w:rsidRPr="003856E2">
              <w:t>Where this unit is being assessed outside of the resources and infrastructure sectors assessor and/or industry subject matter expert experience should be in-line with industry standards for the sector in which it is being assessed and where n</w:t>
            </w:r>
            <w:r w:rsidRPr="003856E2">
              <w:t>o industry standard is specified should comply with any relevant regulation.</w:t>
            </w:r>
          </w:p>
        </w:tc>
      </w:tr>
    </w:tbl>
    <w:p w:rsidR="00000000" w:rsidRPr="003856E2" w:rsidP="00FD0D4D">
      <w:pPr>
        <w:pStyle w:val="BodyText"/>
      </w:pPr>
      <w:r w:rsidRPr="003856E2">
        <w:t>*Guidance on simulated environments has been stipulated in the RII implementation guide located on VETNet.</w:t>
      </w:r>
    </w:p>
    <w:p w:rsidR="00000000" w:rsidRPr="003856E2" w:rsidP="00FD0D4D">
      <w:pPr>
        <w:pStyle w:val="BodyText"/>
      </w:pPr>
      <w:r w:rsidRPr="003856E2">
        <w:t>**Assessors can demonstrate current work experience through employment</w:t>
      </w:r>
      <w:r w:rsidRPr="003856E2">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3856E2">
        <w:t>us locations.</w:t>
      </w:r>
    </w:p>
    <w:p w:rsidR="00FD0D4D" w:rsidP="00FD0D4D">
      <w:pPr>
        <w:pStyle w:val="BodyText"/>
      </w:pPr>
      <w:r w:rsidRPr="003856E2">
        <w:t>*** While a Unit of Competency does not have an AQF level, where a unit is being delivered outside of a qualification the first numeric character in the unit code should be considered as the AQF indicator level for assessment purposes.</w:t>
      </w:r>
    </w:p>
    <w:p w:rsidR="00000000" w:rsidRPr="003856E2" w:rsidP="003856E2">
      <w:pPr>
        <w:pStyle w:val="Heading1"/>
      </w:pPr>
      <w:bookmarkStart w:id="5" w:name="O_1202237"/>
      <w:bookmarkEnd w:id="5"/>
      <w:r w:rsidRPr="003856E2">
        <w:t>Links</w:t>
      </w:r>
    </w:p>
    <w:p w:rsidR="00000000" w:rsidRPr="003856E2" w:rsidP="00FD0D4D">
      <w:pPr>
        <w:pStyle w:val="BodyText"/>
      </w:pPr>
      <w:r w:rsidRPr="003856E2">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3F65DC">
        <w:rPr>
          <w:rStyle w:val="Hyperlink"/>
        </w:rPr>
        <w:t>https://vetnet.gov.au/Pages/TrainingDocs.aspx?q=88a61002-9a21-4386-aaf8-69c76e675272</w:t>
      </w:r>
      <w:r>
        <w:fldChar w:fldCharType="end"/>
      </w:r>
    </w:p>
    <w:p w:rsidR="00000000" w:rsidRPr="003856E2" w:rsidP="003856E2"/>
    <w:sectPr w:rsidSect="003856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6E2" w:rsidRPr="00FD0D4D" w:rsidP="00FD0D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4D" w:rsidP="003856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0D4D" w:rsidP="003856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D0D4D" w:rsidP="003856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6E2" w:rsidRPr="00FD0D4D" w:rsidP="00FD0D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4D" w:rsidRPr="002D2AF8" w:rsidP="003856E2">
    <w:pPr>
      <w:pStyle w:val="Header"/>
      <w:framePr w:wrap="around"/>
    </w:pPr>
    <w:r>
      <w:fldChar w:fldCharType="begin"/>
    </w:r>
    <w:r>
      <w:instrText xml:space="preserve"> TITLE   \* MERGEFORMAT </w:instrText>
    </w:r>
    <w:r>
      <w:fldChar w:fldCharType="separate"/>
    </w:r>
    <w:r>
      <w:t>Assessment Requirements for RIIMPO328E Conduct continuous bucket trencher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D0D4D" w:rsidP="003856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04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E29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766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6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6E2"/>
    <w:pPr>
      <w:spacing w:before="360" w:after="60"/>
      <w:outlineLvl w:val="0"/>
    </w:pPr>
    <w:rPr>
      <w:sz w:val="32"/>
    </w:rPr>
  </w:style>
  <w:style w:type="paragraph" w:styleId="Heading2">
    <w:name w:val="heading 2"/>
    <w:basedOn w:val="HeadingBase"/>
    <w:next w:val="BodyText"/>
    <w:link w:val="Heading2Char"/>
    <w:qFormat/>
    <w:rsid w:val="003856E2"/>
    <w:pPr>
      <w:keepLines/>
      <w:spacing w:before="240" w:after="120"/>
      <w:outlineLvl w:val="1"/>
    </w:pPr>
    <w:rPr>
      <w:sz w:val="28"/>
      <w:szCs w:val="40"/>
    </w:rPr>
  </w:style>
  <w:style w:type="paragraph" w:styleId="Heading3">
    <w:name w:val="heading 3"/>
    <w:basedOn w:val="HeadingBase"/>
    <w:next w:val="BodyText"/>
    <w:link w:val="Heading3Char"/>
    <w:qFormat/>
    <w:rsid w:val="003856E2"/>
    <w:pPr>
      <w:spacing w:before="180" w:after="120"/>
      <w:outlineLvl w:val="2"/>
    </w:pPr>
    <w:rPr>
      <w:spacing w:val="-10"/>
      <w:kern w:val="32"/>
    </w:rPr>
  </w:style>
  <w:style w:type="paragraph" w:styleId="Heading4">
    <w:name w:val="heading 4"/>
    <w:basedOn w:val="HeadingBase"/>
    <w:next w:val="BodyText"/>
    <w:link w:val="Heading4Char"/>
    <w:qFormat/>
    <w:rsid w:val="003856E2"/>
    <w:pPr>
      <w:spacing w:before="160" w:after="120"/>
      <w:outlineLvl w:val="3"/>
    </w:pPr>
    <w:rPr>
      <w:sz w:val="22"/>
    </w:rPr>
  </w:style>
  <w:style w:type="paragraph" w:styleId="Heading5">
    <w:name w:val="heading 5"/>
    <w:basedOn w:val="HeadingBase"/>
    <w:next w:val="Normal"/>
    <w:link w:val="Heading5Char"/>
    <w:qFormat/>
    <w:rsid w:val="003856E2"/>
    <w:pPr>
      <w:spacing w:before="80"/>
      <w:outlineLvl w:val="4"/>
    </w:pPr>
    <w:rPr>
      <w:color w:val="918585"/>
      <w:sz w:val="20"/>
    </w:rPr>
  </w:style>
  <w:style w:type="paragraph" w:styleId="Heading6">
    <w:name w:val="heading 6"/>
    <w:basedOn w:val="HeadingBase"/>
    <w:next w:val="Normal"/>
    <w:link w:val="Heading6Char"/>
    <w:qFormat/>
    <w:rsid w:val="003856E2"/>
    <w:pPr>
      <w:spacing w:before="60"/>
      <w:outlineLvl w:val="5"/>
    </w:pPr>
    <w:rPr>
      <w:color w:val="918585"/>
      <w:sz w:val="20"/>
    </w:rPr>
  </w:style>
  <w:style w:type="paragraph" w:styleId="Heading7">
    <w:name w:val="heading 7"/>
    <w:basedOn w:val="Normal"/>
    <w:next w:val="Normal"/>
    <w:link w:val="Heading7Char"/>
    <w:qFormat/>
    <w:rsid w:val="003856E2"/>
    <w:pPr>
      <w:ind w:left="720"/>
      <w:outlineLvl w:val="6"/>
    </w:pPr>
    <w:rPr>
      <w:i/>
    </w:rPr>
  </w:style>
  <w:style w:type="paragraph" w:styleId="Heading8">
    <w:name w:val="heading 8"/>
    <w:basedOn w:val="Normal"/>
    <w:next w:val="Normal"/>
    <w:link w:val="Heading8Char"/>
    <w:qFormat/>
    <w:rsid w:val="003856E2"/>
    <w:pPr>
      <w:ind w:left="720"/>
      <w:outlineLvl w:val="7"/>
    </w:pPr>
    <w:rPr>
      <w:i/>
    </w:rPr>
  </w:style>
  <w:style w:type="paragraph" w:styleId="Heading9">
    <w:name w:val="heading 9"/>
    <w:basedOn w:val="Normal"/>
    <w:next w:val="Normal"/>
    <w:link w:val="Heading9Char"/>
    <w:qFormat/>
    <w:rsid w:val="003856E2"/>
    <w:pPr>
      <w:ind w:left="720"/>
      <w:outlineLvl w:val="8"/>
    </w:pPr>
    <w:rPr>
      <w:i/>
    </w:rPr>
  </w:style>
  <w:style w:type="character" w:default="1" w:styleId="DefaultParagraphFont">
    <w:name w:val="Default Paragraph Font"/>
    <w:uiPriority w:val="1"/>
    <w:unhideWhenUsed/>
    <w:rsid w:val="00385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6E2"/>
  </w:style>
  <w:style w:type="character" w:customStyle="1" w:styleId="Heading1Char">
    <w:name w:val="Heading 1 Char"/>
    <w:basedOn w:val="DefaultParagraphFont"/>
    <w:link w:val="Heading1"/>
    <w:rsid w:val="003856E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856E2"/>
    <w:rPr>
      <w:rFonts w:ascii="Times New Roman" w:eastAsia="Times New Roman" w:hAnsi="Times New Roman" w:cs="Times New Roman"/>
      <w:b/>
      <w:szCs w:val="20"/>
      <w:lang w:eastAsia="en-US"/>
    </w:rPr>
  </w:style>
  <w:style w:type="paragraph" w:styleId="BodyText">
    <w:name w:val="Body Text"/>
    <w:basedOn w:val="Normal"/>
    <w:link w:val="BodyTextChar"/>
    <w:rsid w:val="003856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6E2"/>
    <w:rPr>
      <w:rFonts w:ascii="Times New Roman" w:eastAsia="Times New Roman" w:hAnsi="Times New Roman" w:cs="Times New Roman"/>
      <w:sz w:val="24"/>
      <w:lang w:eastAsia="en-US"/>
    </w:rPr>
  </w:style>
  <w:style w:type="paragraph" w:styleId="ListBullet">
    <w:name w:val="List Bullet"/>
    <w:basedOn w:val="List"/>
    <w:rsid w:val="003856E2"/>
    <w:pPr>
      <w:numPr>
        <w:numId w:val="12"/>
      </w:numPr>
      <w:tabs>
        <w:tab w:val="clear" w:pos="340"/>
      </w:tabs>
      <w:spacing w:before="40" w:after="40"/>
    </w:pPr>
  </w:style>
  <w:style w:type="character" w:customStyle="1" w:styleId="SpecialBold">
    <w:name w:val="Special Bold"/>
    <w:basedOn w:val="DefaultParagraphFont"/>
    <w:rsid w:val="003856E2"/>
    <w:rPr>
      <w:b/>
      <w:spacing w:val="0"/>
    </w:rPr>
  </w:style>
  <w:style w:type="paragraph" w:styleId="ListBullet2">
    <w:name w:val="List Bullet 2"/>
    <w:basedOn w:val="List2"/>
    <w:rsid w:val="003856E2"/>
    <w:pPr>
      <w:numPr>
        <w:numId w:val="13"/>
      </w:numPr>
      <w:tabs>
        <w:tab w:val="clear" w:pos="680"/>
      </w:tabs>
    </w:pPr>
  </w:style>
  <w:style w:type="paragraph" w:customStyle="1" w:styleId="SuperHeading">
    <w:name w:val="SuperHeading"/>
    <w:basedOn w:val="Normal"/>
    <w:rsid w:val="003856E2"/>
    <w:pPr>
      <w:spacing w:before="240" w:after="120"/>
      <w:outlineLvl w:val="0"/>
    </w:pPr>
    <w:rPr>
      <w:rFonts w:ascii="Times New Roman" w:hAnsi="Times New Roman"/>
      <w:b/>
      <w:sz w:val="32"/>
    </w:rPr>
  </w:style>
  <w:style w:type="paragraph" w:customStyle="1" w:styleId="AllowPageBreak">
    <w:name w:val="AllowPageBreak"/>
    <w:rsid w:val="003856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6E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85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6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6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6E2"/>
    <w:rPr>
      <w:rFonts w:ascii="Courier New" w:eastAsia="Times New Roman" w:hAnsi="Courier New" w:cs="Times New Roman"/>
      <w:i/>
      <w:szCs w:val="20"/>
      <w:lang w:eastAsia="en-US"/>
    </w:rPr>
  </w:style>
  <w:style w:type="paragraph" w:customStyle="1" w:styleId="HeadingBase">
    <w:name w:val="Heading Base"/>
    <w:rsid w:val="00385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6E2"/>
    <w:pPr>
      <w:tabs>
        <w:tab w:val="right" w:leader="dot" w:pos="9072"/>
      </w:tabs>
      <w:ind w:left="567"/>
    </w:pPr>
    <w:rPr>
      <w:szCs w:val="22"/>
    </w:rPr>
  </w:style>
  <w:style w:type="paragraph" w:customStyle="1" w:styleId="TOCBase">
    <w:name w:val="TOC Base"/>
    <w:rsid w:val="00385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6E2"/>
    <w:pPr>
      <w:tabs>
        <w:tab w:val="right" w:leader="dot" w:pos="9072"/>
      </w:tabs>
      <w:spacing w:before="40" w:after="40"/>
      <w:ind w:left="284"/>
    </w:pPr>
    <w:rPr>
      <w:rFonts w:ascii="Times New Roman" w:hAnsi="Times New Roman"/>
    </w:rPr>
  </w:style>
  <w:style w:type="paragraph" w:styleId="TOC1">
    <w:name w:val="toc 1"/>
    <w:basedOn w:val="TOCBase"/>
    <w:next w:val="Normal"/>
    <w:rsid w:val="003856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6E2"/>
    <w:rPr>
      <w:rFonts w:ascii="Times New Roman" w:eastAsia="Times New Roman" w:hAnsi="Times New Roman" w:cs="Times New Roman"/>
      <w:sz w:val="16"/>
      <w:lang w:eastAsia="en-US"/>
    </w:rPr>
  </w:style>
  <w:style w:type="paragraph" w:styleId="Title">
    <w:name w:val="Title"/>
    <w:basedOn w:val="HeadingBase"/>
    <w:link w:val="TitleChar"/>
    <w:qFormat/>
    <w:rsid w:val="003856E2"/>
    <w:pPr>
      <w:spacing w:before="5040"/>
      <w:jc w:val="center"/>
    </w:pPr>
    <w:rPr>
      <w:sz w:val="48"/>
      <w:szCs w:val="72"/>
      <w:lang w:val="en-US"/>
    </w:rPr>
  </w:style>
  <w:style w:type="character" w:customStyle="1" w:styleId="TitleChar">
    <w:name w:val="Title Char"/>
    <w:basedOn w:val="DefaultParagraphFont"/>
    <w:link w:val="Title"/>
    <w:rsid w:val="00385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6E2"/>
    <w:pPr>
      <w:tabs>
        <w:tab w:val="left" w:pos="3600"/>
        <w:tab w:val="left" w:pos="3958"/>
      </w:tabs>
    </w:pPr>
  </w:style>
  <w:style w:type="paragraph" w:styleId="List">
    <w:name w:val="List"/>
    <w:basedOn w:val="BodyText"/>
    <w:next w:val="BodyText"/>
    <w:rsid w:val="003856E2"/>
    <w:pPr>
      <w:tabs>
        <w:tab w:val="left" w:pos="340"/>
      </w:tabs>
      <w:spacing w:before="60" w:after="60"/>
      <w:ind w:left="340" w:hanging="340"/>
    </w:pPr>
  </w:style>
  <w:style w:type="paragraph" w:customStyle="1" w:styleId="Note">
    <w:name w:val="Note"/>
    <w:basedOn w:val="BodyText"/>
    <w:rsid w:val="003856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6E2"/>
    <w:pPr>
      <w:framePr w:wrap="auto" w:hAnchor="text" w:y="6049"/>
    </w:pPr>
    <w:rPr>
      <w:color w:val="000000"/>
      <w:sz w:val="40"/>
    </w:rPr>
  </w:style>
  <w:style w:type="paragraph" w:customStyle="1" w:styleId="TOCTitle">
    <w:name w:val="TOCTitle"/>
    <w:basedOn w:val="Heading1"/>
    <w:rsid w:val="003856E2"/>
    <w:pPr>
      <w:spacing w:after="240"/>
      <w:jc w:val="center"/>
      <w:outlineLvl w:val="9"/>
    </w:pPr>
    <w:rPr>
      <w:caps/>
    </w:rPr>
  </w:style>
  <w:style w:type="paragraph" w:customStyle="1" w:styleId="Version">
    <w:name w:val="Version"/>
    <w:rsid w:val="003856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6E2"/>
    <w:pPr>
      <w:keepNext w:val="0"/>
      <w:tabs>
        <w:tab w:val="right" w:pos="4176"/>
      </w:tabs>
      <w:ind w:left="198" w:hanging="198"/>
    </w:pPr>
    <w:rPr>
      <w:rFonts w:ascii="Garamond" w:hAnsi="Garamond"/>
    </w:rPr>
  </w:style>
  <w:style w:type="paragraph" w:styleId="IndexHeading">
    <w:name w:val="index heading"/>
    <w:basedOn w:val="Normal"/>
    <w:next w:val="Index1"/>
    <w:semiHidden/>
    <w:rsid w:val="003856E2"/>
    <w:pPr>
      <w:spacing w:before="120" w:after="120"/>
    </w:pPr>
    <w:rPr>
      <w:rFonts w:ascii="Arial" w:hAnsi="Arial"/>
      <w:b/>
      <w:color w:val="918585"/>
      <w:sz w:val="24"/>
    </w:rPr>
  </w:style>
  <w:style w:type="paragraph" w:styleId="Header">
    <w:name w:val="header"/>
    <w:basedOn w:val="Normal"/>
    <w:link w:val="HeaderChar"/>
    <w:rsid w:val="00385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6E2"/>
    <w:rPr>
      <w:rFonts w:ascii="Times New Roman" w:eastAsia="Times New Roman" w:hAnsi="Times New Roman" w:cs="Times New Roman"/>
      <w:sz w:val="16"/>
      <w:szCs w:val="20"/>
      <w:lang w:val="en-GB" w:eastAsia="en-US"/>
    </w:rPr>
  </w:style>
  <w:style w:type="paragraph" w:customStyle="1" w:styleId="Chapter">
    <w:name w:val="Chapter"/>
    <w:basedOn w:val="Normal"/>
    <w:rsid w:val="003856E2"/>
    <w:pPr>
      <w:spacing w:before="240"/>
    </w:pPr>
    <w:rPr>
      <w:rFonts w:ascii="Times New Roman" w:hAnsi="Times New Roman"/>
      <w:smallCaps/>
      <w:spacing w:val="80"/>
      <w:sz w:val="28"/>
    </w:rPr>
  </w:style>
  <w:style w:type="paragraph" w:customStyle="1" w:styleId="InChapter">
    <w:name w:val="InChapter"/>
    <w:basedOn w:val="Heading3"/>
    <w:rsid w:val="003856E2"/>
    <w:pPr>
      <w:spacing w:after="240"/>
      <w:outlineLvl w:val="9"/>
    </w:pPr>
    <w:rPr>
      <w:noProof/>
    </w:rPr>
  </w:style>
  <w:style w:type="paragraph" w:styleId="Index2">
    <w:name w:val="index 2"/>
    <w:basedOn w:val="Normal"/>
    <w:next w:val="Normal"/>
    <w:semiHidden/>
    <w:rsid w:val="003856E2"/>
    <w:pPr>
      <w:tabs>
        <w:tab w:val="right" w:pos="4176"/>
      </w:tabs>
      <w:ind w:left="568" w:hanging="284"/>
    </w:pPr>
    <w:rPr>
      <w:rFonts w:ascii="Garamond" w:hAnsi="Garamond"/>
    </w:rPr>
  </w:style>
  <w:style w:type="paragraph" w:customStyle="1" w:styleId="Byline">
    <w:name w:val="Byline"/>
    <w:rsid w:val="00385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6E2"/>
    <w:pPr>
      <w:tabs>
        <w:tab w:val="clear" w:pos="3600"/>
        <w:tab w:val="clear" w:pos="3958"/>
      </w:tabs>
      <w:jc w:val="right"/>
    </w:pPr>
  </w:style>
  <w:style w:type="character" w:styleId="Emphasis">
    <w:name w:val="Emphasis"/>
    <w:basedOn w:val="DefaultParagraphFont"/>
    <w:qFormat/>
    <w:rsid w:val="003856E2"/>
    <w:rPr>
      <w:i/>
    </w:rPr>
  </w:style>
  <w:style w:type="paragraph" w:styleId="Caption">
    <w:name w:val="caption"/>
    <w:basedOn w:val="BodyText"/>
    <w:next w:val="Normal"/>
    <w:qFormat/>
    <w:rsid w:val="003856E2"/>
    <w:pPr>
      <w:framePr w:w="2268" w:hSpace="181" w:vSpace="181" w:wrap="around" w:vAnchor="text" w:hAnchor="page" w:x="1135" w:y="285" w:anchorLock="1"/>
    </w:pPr>
    <w:rPr>
      <w:i/>
    </w:rPr>
  </w:style>
  <w:style w:type="paragraph" w:customStyle="1" w:styleId="MiniTOCTitle">
    <w:name w:val="MiniTOCTitle"/>
    <w:basedOn w:val="Heading4"/>
    <w:rsid w:val="003856E2"/>
    <w:pPr>
      <w:spacing w:before="240"/>
      <w:outlineLvl w:val="9"/>
    </w:pPr>
    <w:rPr>
      <w:noProof/>
      <w:sz w:val="24"/>
    </w:rPr>
  </w:style>
  <w:style w:type="paragraph" w:customStyle="1" w:styleId="MiniTOCItem">
    <w:name w:val="MiniTOCItem"/>
    <w:basedOn w:val="ListBullet"/>
    <w:rsid w:val="003856E2"/>
    <w:pPr>
      <w:numPr>
        <w:numId w:val="0"/>
      </w:numPr>
      <w:tabs>
        <w:tab w:val="right" w:leader="dot" w:pos="6521"/>
      </w:tabs>
      <w:spacing w:before="0" w:after="0"/>
    </w:pPr>
  </w:style>
  <w:style w:type="paragraph" w:customStyle="1" w:styleId="TOFTitle">
    <w:name w:val="TOFTitle"/>
    <w:basedOn w:val="TOCTitle"/>
    <w:rsid w:val="003856E2"/>
  </w:style>
  <w:style w:type="paragraph" w:styleId="TableofFigures">
    <w:name w:val="table of figures"/>
    <w:basedOn w:val="Normal"/>
    <w:next w:val="Normal"/>
    <w:semiHidden/>
    <w:rsid w:val="003856E2"/>
    <w:pPr>
      <w:tabs>
        <w:tab w:val="right" w:leader="dot" w:pos="9072"/>
      </w:tabs>
      <w:ind w:left="970" w:hanging="403"/>
    </w:pPr>
    <w:rPr>
      <w:rFonts w:ascii="Times New Roman" w:hAnsi="Times New Roman"/>
      <w:b/>
    </w:rPr>
  </w:style>
  <w:style w:type="paragraph" w:styleId="ListNumber">
    <w:name w:val="List Number"/>
    <w:basedOn w:val="List"/>
    <w:rsid w:val="003856E2"/>
    <w:pPr>
      <w:numPr>
        <w:numId w:val="15"/>
      </w:numPr>
      <w:tabs>
        <w:tab w:val="clear" w:pos="340"/>
      </w:tabs>
    </w:pPr>
  </w:style>
  <w:style w:type="character" w:customStyle="1" w:styleId="WingdingSymbols">
    <w:name w:val="Wingding Symbols"/>
    <w:rsid w:val="003856E2"/>
    <w:rPr>
      <w:rFonts w:ascii="Wingdings" w:hAnsi="Wingdings"/>
    </w:rPr>
  </w:style>
  <w:style w:type="paragraph" w:customStyle="1" w:styleId="TableHeading">
    <w:name w:val="Table Heading"/>
    <w:basedOn w:val="HeadingBase"/>
    <w:rsid w:val="003856E2"/>
    <w:pPr>
      <w:keepLines/>
      <w:pBdr>
        <w:bottom w:val="single" w:sz="6" w:space="1" w:color="918585"/>
      </w:pBdr>
      <w:spacing w:before="240"/>
    </w:pPr>
  </w:style>
  <w:style w:type="character" w:customStyle="1" w:styleId="HotSpot">
    <w:name w:val="HotSpot"/>
    <w:rsid w:val="003856E2"/>
    <w:rPr>
      <w:color w:val="0033CC"/>
      <w:u w:val="none"/>
    </w:rPr>
  </w:style>
  <w:style w:type="paragraph" w:customStyle="1" w:styleId="BodyTextRight">
    <w:name w:val="Body Text Right"/>
    <w:basedOn w:val="BodyText"/>
    <w:rsid w:val="003856E2"/>
    <w:pPr>
      <w:spacing w:before="0" w:after="0"/>
      <w:jc w:val="right"/>
    </w:pPr>
  </w:style>
  <w:style w:type="paragraph" w:styleId="Index3">
    <w:name w:val="index 3"/>
    <w:basedOn w:val="ListNumber2"/>
    <w:next w:val="Normal"/>
    <w:semiHidden/>
    <w:rsid w:val="003856E2"/>
    <w:pPr>
      <w:numPr>
        <w:numId w:val="0"/>
      </w:numPr>
      <w:tabs>
        <w:tab w:val="right" w:leader="dot" w:pos="4176"/>
      </w:tabs>
    </w:pPr>
  </w:style>
  <w:style w:type="paragraph" w:styleId="ListNumber2">
    <w:name w:val="List Number 2"/>
    <w:basedOn w:val="List2"/>
    <w:rsid w:val="003856E2"/>
    <w:pPr>
      <w:numPr>
        <w:numId w:val="10"/>
      </w:numPr>
      <w:tabs>
        <w:tab w:val="clear" w:pos="1060"/>
      </w:tabs>
    </w:pPr>
  </w:style>
  <w:style w:type="paragraph" w:customStyle="1" w:styleId="MarginNote">
    <w:name w:val="Margin Note"/>
    <w:basedOn w:val="BodyText"/>
    <w:rsid w:val="00385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6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6E2"/>
    <w:rPr>
      <w:sz w:val="32"/>
    </w:rPr>
  </w:style>
  <w:style w:type="paragraph" w:customStyle="1" w:styleId="HeadingProcedure">
    <w:name w:val="Heading Procedure"/>
    <w:basedOn w:val="HeadingBase"/>
    <w:next w:val="Normal"/>
    <w:rsid w:val="003856E2"/>
    <w:pPr>
      <w:tabs>
        <w:tab w:val="left" w:pos="0"/>
      </w:tabs>
      <w:spacing w:before="120" w:after="60"/>
    </w:pPr>
    <w:rPr>
      <w:i/>
      <w:color w:val="918585"/>
      <w:sz w:val="22"/>
    </w:rPr>
  </w:style>
  <w:style w:type="paragraph" w:customStyle="1" w:styleId="TableBodyText">
    <w:name w:val="Table Body Text"/>
    <w:basedOn w:val="BodyText"/>
    <w:rsid w:val="003856E2"/>
    <w:pPr>
      <w:spacing w:before="60" w:after="60"/>
    </w:pPr>
  </w:style>
  <w:style w:type="paragraph" w:styleId="ListContinue">
    <w:name w:val="List Continue"/>
    <w:basedOn w:val="List"/>
    <w:rsid w:val="003856E2"/>
    <w:pPr>
      <w:ind w:firstLine="0"/>
    </w:pPr>
  </w:style>
  <w:style w:type="paragraph" w:customStyle="1" w:styleId="ListNote">
    <w:name w:val="List Note"/>
    <w:basedOn w:val="List"/>
    <w:rsid w:val="003856E2"/>
    <w:pPr>
      <w:pBdr>
        <w:top w:val="single" w:sz="6" w:space="2" w:color="918585"/>
        <w:bottom w:val="single" w:sz="6" w:space="2" w:color="918585"/>
      </w:pBdr>
      <w:tabs>
        <w:tab w:val="left" w:pos="1021"/>
      </w:tabs>
      <w:ind w:firstLine="0"/>
    </w:pPr>
  </w:style>
  <w:style w:type="paragraph" w:customStyle="1" w:styleId="Warning">
    <w:name w:val="Warning"/>
    <w:basedOn w:val="BodyText"/>
    <w:rsid w:val="003856E2"/>
    <w:pPr>
      <w:shd w:val="clear" w:color="auto" w:fill="D9D9D9"/>
      <w:tabs>
        <w:tab w:val="left" w:pos="992"/>
      </w:tabs>
      <w:ind w:left="119" w:right="119"/>
    </w:pPr>
    <w:rPr>
      <w:sz w:val="20"/>
    </w:rPr>
  </w:style>
  <w:style w:type="paragraph" w:customStyle="1" w:styleId="MarginIcons">
    <w:name w:val="Margin Icons"/>
    <w:basedOn w:val="BodyText"/>
    <w:rsid w:val="00385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6E2"/>
    <w:rPr>
      <w:rFonts w:ascii="Courier New" w:hAnsi="Courier New"/>
    </w:rPr>
  </w:style>
  <w:style w:type="paragraph" w:customStyle="1" w:styleId="NoteBullet">
    <w:name w:val="Note Bullet"/>
    <w:basedOn w:val="Note"/>
    <w:rsid w:val="003856E2"/>
    <w:pPr>
      <w:tabs>
        <w:tab w:val="clear" w:pos="680"/>
      </w:tabs>
      <w:spacing w:before="60" w:after="60"/>
    </w:pPr>
  </w:style>
  <w:style w:type="paragraph" w:customStyle="1" w:styleId="SubHeading2">
    <w:name w:val="SubHeading2"/>
    <w:basedOn w:val="HeadingBase"/>
    <w:rsid w:val="003856E2"/>
    <w:pPr>
      <w:spacing w:before="240" w:after="60"/>
    </w:pPr>
    <w:rPr>
      <w:sz w:val="20"/>
    </w:rPr>
  </w:style>
  <w:style w:type="paragraph" w:customStyle="1" w:styleId="SubHeading1">
    <w:name w:val="SubHeading1"/>
    <w:basedOn w:val="HeadingBase"/>
    <w:rsid w:val="003856E2"/>
    <w:pPr>
      <w:spacing w:before="240" w:after="60"/>
    </w:pPr>
    <w:rPr>
      <w:color w:val="918585"/>
      <w:sz w:val="22"/>
    </w:rPr>
  </w:style>
  <w:style w:type="paragraph" w:customStyle="1" w:styleId="SideHeading">
    <w:name w:val="Side Heading"/>
    <w:basedOn w:val="HeadingBase"/>
    <w:rsid w:val="00385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6E2"/>
    <w:pPr>
      <w:tabs>
        <w:tab w:val="num" w:pos="360"/>
      </w:tabs>
    </w:pPr>
  </w:style>
  <w:style w:type="paragraph" w:styleId="PlainText">
    <w:name w:val="Plain Text"/>
    <w:basedOn w:val="Normal"/>
    <w:link w:val="PlainTextChar"/>
    <w:rsid w:val="003856E2"/>
    <w:rPr>
      <w:sz w:val="20"/>
    </w:rPr>
  </w:style>
  <w:style w:type="character" w:customStyle="1" w:styleId="PlainTextChar">
    <w:name w:val="Plain Text Char"/>
    <w:basedOn w:val="DefaultParagraphFont"/>
    <w:link w:val="PlainText"/>
    <w:rsid w:val="003856E2"/>
    <w:rPr>
      <w:rFonts w:ascii="Courier New" w:eastAsia="Times New Roman" w:hAnsi="Courier New" w:cs="Times New Roman"/>
      <w:sz w:val="20"/>
      <w:szCs w:val="20"/>
      <w:lang w:eastAsia="en-US"/>
    </w:rPr>
  </w:style>
  <w:style w:type="character" w:customStyle="1" w:styleId="MenuOption">
    <w:name w:val="Menu Option"/>
    <w:basedOn w:val="DefaultParagraphFont"/>
    <w:rsid w:val="003856E2"/>
    <w:rPr>
      <w:b/>
      <w:smallCaps/>
    </w:rPr>
  </w:style>
  <w:style w:type="paragraph" w:customStyle="1" w:styleId="TableListNumber">
    <w:name w:val="Table List Number"/>
    <w:basedOn w:val="ListNumber"/>
    <w:rsid w:val="003856E2"/>
    <w:pPr>
      <w:numPr>
        <w:numId w:val="0"/>
      </w:numPr>
    </w:pPr>
  </w:style>
  <w:style w:type="paragraph" w:styleId="TOC4">
    <w:name w:val="toc 4"/>
    <w:basedOn w:val="TOCBase"/>
    <w:next w:val="Normal"/>
    <w:semiHidden/>
    <w:rsid w:val="003856E2"/>
    <w:pPr>
      <w:tabs>
        <w:tab w:val="right" w:leader="dot" w:pos="9071"/>
      </w:tabs>
      <w:ind w:left="1701"/>
    </w:pPr>
  </w:style>
  <w:style w:type="paragraph" w:customStyle="1" w:styleId="ListAlpha">
    <w:name w:val="List Alpha"/>
    <w:basedOn w:val="List"/>
    <w:rsid w:val="003856E2"/>
    <w:pPr>
      <w:numPr>
        <w:numId w:val="9"/>
      </w:numPr>
    </w:pPr>
  </w:style>
  <w:style w:type="paragraph" w:customStyle="1" w:styleId="ListAlpha2">
    <w:name w:val="List Alpha 2"/>
    <w:basedOn w:val="List2"/>
    <w:rsid w:val="003856E2"/>
    <w:pPr>
      <w:numPr>
        <w:numId w:val="8"/>
      </w:numPr>
    </w:pPr>
  </w:style>
  <w:style w:type="paragraph" w:styleId="List2">
    <w:name w:val="List 2"/>
    <w:basedOn w:val="BodyText"/>
    <w:rsid w:val="003856E2"/>
    <w:pPr>
      <w:tabs>
        <w:tab w:val="left" w:pos="680"/>
      </w:tabs>
      <w:spacing w:before="60" w:after="60"/>
      <w:ind w:left="680" w:hanging="340"/>
    </w:pPr>
  </w:style>
  <w:style w:type="paragraph" w:styleId="List3">
    <w:name w:val="List 3"/>
    <w:basedOn w:val="BodyText"/>
    <w:rsid w:val="003856E2"/>
    <w:pPr>
      <w:tabs>
        <w:tab w:val="left" w:pos="1021"/>
      </w:tabs>
      <w:spacing w:before="60" w:after="60"/>
      <w:ind w:left="1020" w:hanging="340"/>
    </w:pPr>
  </w:style>
  <w:style w:type="paragraph" w:styleId="List4">
    <w:name w:val="List 4"/>
    <w:basedOn w:val="BodyText"/>
    <w:rsid w:val="003856E2"/>
    <w:pPr>
      <w:tabs>
        <w:tab w:val="left" w:pos="1361"/>
      </w:tabs>
      <w:spacing w:before="60" w:after="60"/>
      <w:ind w:left="1361" w:hanging="340"/>
    </w:pPr>
  </w:style>
  <w:style w:type="paragraph" w:styleId="List5">
    <w:name w:val="List 5"/>
    <w:basedOn w:val="BodyText"/>
    <w:rsid w:val="003856E2"/>
    <w:pPr>
      <w:tabs>
        <w:tab w:val="left" w:pos="1701"/>
      </w:tabs>
      <w:spacing w:before="60" w:after="60"/>
      <w:ind w:left="1701" w:hanging="340"/>
    </w:pPr>
  </w:style>
  <w:style w:type="paragraph" w:styleId="ListBullet3">
    <w:name w:val="List Bullet 3"/>
    <w:basedOn w:val="List3"/>
    <w:rsid w:val="003856E2"/>
    <w:pPr>
      <w:numPr>
        <w:numId w:val="14"/>
      </w:numPr>
      <w:tabs>
        <w:tab w:val="clear" w:pos="1021"/>
      </w:tabs>
      <w:ind w:left="1037" w:hanging="357"/>
    </w:pPr>
  </w:style>
  <w:style w:type="paragraph" w:styleId="ListBullet4">
    <w:name w:val="List Bullet 4"/>
    <w:basedOn w:val="List4"/>
    <w:rsid w:val="003856E2"/>
    <w:pPr>
      <w:numPr>
        <w:numId w:val="3"/>
      </w:numPr>
      <w:tabs>
        <w:tab w:val="clear" w:pos="1361"/>
      </w:tabs>
    </w:pPr>
  </w:style>
  <w:style w:type="paragraph" w:styleId="ListBullet5">
    <w:name w:val="List Bullet 5"/>
    <w:basedOn w:val="List5"/>
    <w:rsid w:val="003856E2"/>
    <w:pPr>
      <w:numPr>
        <w:numId w:val="4"/>
      </w:numPr>
    </w:pPr>
  </w:style>
  <w:style w:type="paragraph" w:styleId="ListContinue2">
    <w:name w:val="List Continue 2"/>
    <w:basedOn w:val="List2"/>
    <w:rsid w:val="003856E2"/>
    <w:pPr>
      <w:ind w:firstLine="0"/>
    </w:pPr>
  </w:style>
  <w:style w:type="paragraph" w:styleId="ListContinue3">
    <w:name w:val="List Continue 3"/>
    <w:basedOn w:val="List3"/>
    <w:rsid w:val="003856E2"/>
    <w:pPr>
      <w:ind w:left="1021" w:firstLine="0"/>
    </w:pPr>
  </w:style>
  <w:style w:type="paragraph" w:styleId="ListContinue4">
    <w:name w:val="List Continue 4"/>
    <w:basedOn w:val="List4"/>
    <w:rsid w:val="003856E2"/>
    <w:pPr>
      <w:ind w:firstLine="0"/>
    </w:pPr>
  </w:style>
  <w:style w:type="paragraph" w:styleId="ListContinue5">
    <w:name w:val="List Continue 5"/>
    <w:basedOn w:val="List5"/>
    <w:rsid w:val="003856E2"/>
    <w:pPr>
      <w:ind w:firstLine="0"/>
    </w:pPr>
  </w:style>
  <w:style w:type="paragraph" w:styleId="ListNumber3">
    <w:name w:val="List Number 3"/>
    <w:basedOn w:val="List3"/>
    <w:rsid w:val="003856E2"/>
    <w:pPr>
      <w:numPr>
        <w:numId w:val="5"/>
      </w:numPr>
    </w:pPr>
  </w:style>
  <w:style w:type="paragraph" w:styleId="ListNumber4">
    <w:name w:val="List Number 4"/>
    <w:basedOn w:val="List4"/>
    <w:rsid w:val="003856E2"/>
    <w:pPr>
      <w:numPr>
        <w:numId w:val="6"/>
      </w:numPr>
    </w:pPr>
  </w:style>
  <w:style w:type="paragraph" w:styleId="ListNumber5">
    <w:name w:val="List Number 5"/>
    <w:basedOn w:val="List5"/>
    <w:rsid w:val="003856E2"/>
    <w:pPr>
      <w:numPr>
        <w:numId w:val="7"/>
      </w:numPr>
    </w:pPr>
  </w:style>
  <w:style w:type="paragraph" w:styleId="BlockText">
    <w:name w:val="Block Text"/>
    <w:basedOn w:val="Normal"/>
    <w:rsid w:val="003856E2"/>
    <w:pPr>
      <w:spacing w:after="120"/>
      <w:ind w:left="1440" w:right="1440"/>
    </w:pPr>
  </w:style>
  <w:style w:type="character" w:customStyle="1" w:styleId="Subscript">
    <w:name w:val="Subscript"/>
    <w:basedOn w:val="DefaultParagraphFont"/>
    <w:rsid w:val="003856E2"/>
    <w:rPr>
      <w:sz w:val="16"/>
      <w:vertAlign w:val="subscript"/>
    </w:rPr>
  </w:style>
  <w:style w:type="character" w:customStyle="1" w:styleId="Superscript">
    <w:name w:val="Superscript"/>
    <w:basedOn w:val="DefaultParagraphFont"/>
    <w:rsid w:val="003856E2"/>
    <w:rPr>
      <w:sz w:val="16"/>
      <w:vertAlign w:val="superscript"/>
    </w:rPr>
  </w:style>
  <w:style w:type="character" w:customStyle="1" w:styleId="Symbols">
    <w:name w:val="Symbols"/>
    <w:basedOn w:val="DefaultParagraphFont"/>
    <w:rsid w:val="003856E2"/>
    <w:rPr>
      <w:rFonts w:ascii="Symbol" w:hAnsi="Symbol"/>
    </w:rPr>
  </w:style>
  <w:style w:type="character" w:customStyle="1" w:styleId="MenuOptions">
    <w:name w:val="Menu Options"/>
    <w:basedOn w:val="DefaultParagraphFont"/>
    <w:rsid w:val="003856E2"/>
    <w:rPr>
      <w:rFonts w:ascii="Arial Narrow" w:hAnsi="Arial Narrow"/>
      <w:smallCaps/>
    </w:rPr>
  </w:style>
  <w:style w:type="character" w:customStyle="1" w:styleId="Buttons">
    <w:name w:val="Buttons"/>
    <w:basedOn w:val="DefaultParagraphFont"/>
    <w:rsid w:val="003856E2"/>
    <w:rPr>
      <w:b/>
    </w:rPr>
  </w:style>
  <w:style w:type="character" w:customStyle="1" w:styleId="Underlined">
    <w:name w:val="Underlined"/>
    <w:basedOn w:val="DefaultParagraphFont"/>
    <w:rsid w:val="003856E2"/>
    <w:rPr>
      <w:u w:val="single"/>
    </w:rPr>
  </w:style>
  <w:style w:type="paragraph" w:customStyle="1" w:styleId="TableBodyTextRight">
    <w:name w:val="Table Body Text Right"/>
    <w:basedOn w:val="TableBodyText"/>
    <w:rsid w:val="003856E2"/>
    <w:pPr>
      <w:widowControl w:val="0"/>
      <w:autoSpaceDE w:val="0"/>
      <w:autoSpaceDN w:val="0"/>
      <w:adjustRightInd w:val="0"/>
      <w:jc w:val="right"/>
    </w:pPr>
    <w:rPr>
      <w:rFonts w:cs="Arial"/>
      <w:szCs w:val="18"/>
    </w:rPr>
  </w:style>
  <w:style w:type="paragraph" w:customStyle="1" w:styleId="CopyrightText">
    <w:name w:val="Copyright Text"/>
    <w:basedOn w:val="BodyText"/>
    <w:rsid w:val="003856E2"/>
    <w:rPr>
      <w:sz w:val="18"/>
    </w:rPr>
  </w:style>
  <w:style w:type="paragraph" w:customStyle="1" w:styleId="BodySmallRight">
    <w:name w:val="Body Small Right"/>
    <w:basedOn w:val="BodyTextRight"/>
    <w:rsid w:val="003856E2"/>
    <w:rPr>
      <w:sz w:val="18"/>
      <w:szCs w:val="18"/>
    </w:rPr>
  </w:style>
  <w:style w:type="paragraph" w:customStyle="1" w:styleId="MarginEdition">
    <w:name w:val="Margin Edition"/>
    <w:basedOn w:val="MarginNote"/>
    <w:rsid w:val="003856E2"/>
    <w:pPr>
      <w:spacing w:before="0" w:after="0"/>
    </w:pPr>
    <w:rPr>
      <w:rFonts w:ascii="Times New Roman" w:hAnsi="Times New Roman"/>
      <w:color w:val="999999"/>
    </w:rPr>
  </w:style>
  <w:style w:type="paragraph" w:customStyle="1" w:styleId="Spacer">
    <w:name w:val="Spacer"/>
    <w:basedOn w:val="Normal"/>
    <w:rsid w:val="003856E2"/>
    <w:rPr>
      <w:sz w:val="2"/>
      <w:szCs w:val="2"/>
    </w:rPr>
  </w:style>
  <w:style w:type="character" w:customStyle="1" w:styleId="Small">
    <w:name w:val="Small"/>
    <w:basedOn w:val="DefaultParagraphFont"/>
    <w:rsid w:val="003856E2"/>
    <w:rPr>
      <w:sz w:val="16"/>
    </w:rPr>
  </w:style>
  <w:style w:type="paragraph" w:customStyle="1" w:styleId="WideTable">
    <w:name w:val="Wide Table"/>
    <w:basedOn w:val="Normal"/>
    <w:rsid w:val="003856E2"/>
    <w:pPr>
      <w:ind w:left="-1418"/>
    </w:pPr>
    <w:rPr>
      <w:sz w:val="2"/>
      <w:szCs w:val="2"/>
    </w:rPr>
  </w:style>
  <w:style w:type="character" w:styleId="PageNumber">
    <w:name w:val="page number"/>
    <w:basedOn w:val="DefaultParagraphFont"/>
    <w:rsid w:val="003856E2"/>
  </w:style>
  <w:style w:type="paragraph" w:styleId="Quote">
    <w:name w:val="Quote"/>
    <w:basedOn w:val="Heading1"/>
    <w:link w:val="QuoteChar"/>
    <w:qFormat/>
    <w:rsid w:val="003856E2"/>
    <w:rPr>
      <w:b w:val="0"/>
      <w:sz w:val="72"/>
      <w:szCs w:val="72"/>
      <w:lang w:val="en-NZ"/>
    </w:rPr>
  </w:style>
  <w:style w:type="character" w:customStyle="1" w:styleId="QuoteChar">
    <w:name w:val="Quote Char"/>
    <w:basedOn w:val="DefaultParagraphFont"/>
    <w:link w:val="Quote"/>
    <w:rsid w:val="00385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6E2"/>
    <w:pPr>
      <w:pageBreakBefore/>
    </w:pPr>
  </w:style>
  <w:style w:type="paragraph" w:customStyle="1" w:styleId="Border">
    <w:name w:val="Border"/>
    <w:basedOn w:val="Normal"/>
    <w:qFormat/>
    <w:rsid w:val="00385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6E2"/>
    <w:rPr>
      <w:b/>
      <w:bCs/>
      <w:i/>
      <w:iCs/>
      <w:color w:val="auto"/>
    </w:rPr>
  </w:style>
  <w:style w:type="paragraph" w:styleId="IntenseQuote">
    <w:name w:val="Intense Quote"/>
    <w:basedOn w:val="Normal"/>
    <w:next w:val="Normal"/>
    <w:link w:val="IntenseQuoteChar"/>
    <w:uiPriority w:val="30"/>
    <w:qFormat/>
    <w:rsid w:val="00385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6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6E2"/>
    <w:rPr>
      <w:smallCaps/>
      <w:color w:val="auto"/>
      <w:u w:val="single"/>
    </w:rPr>
  </w:style>
  <w:style w:type="character" w:styleId="IntenseReference">
    <w:name w:val="Intense Reference"/>
    <w:basedOn w:val="DefaultParagraphFont"/>
    <w:uiPriority w:val="32"/>
    <w:qFormat/>
    <w:rsid w:val="003856E2"/>
    <w:rPr>
      <w:b/>
      <w:bCs/>
      <w:smallCaps/>
      <w:color w:val="auto"/>
      <w:spacing w:val="5"/>
      <w:u w:val="single"/>
    </w:rPr>
  </w:style>
  <w:style w:type="paragraph" w:customStyle="1" w:styleId="2ColumnHeading">
    <w:name w:val="2Column Heading"/>
    <w:basedOn w:val="BodyText"/>
    <w:qFormat/>
    <w:rsid w:val="003856E2"/>
    <w:pPr>
      <w:spacing w:after="60"/>
      <w:ind w:left="-2268"/>
    </w:pPr>
    <w:rPr>
      <w:b/>
    </w:rPr>
  </w:style>
  <w:style w:type="paragraph" w:customStyle="1" w:styleId="Heading1TOC">
    <w:name w:val="Heading1 TOC"/>
    <w:basedOn w:val="Normal"/>
    <w:qFormat/>
    <w:rsid w:val="003856E2"/>
    <w:pPr>
      <w:spacing w:before="240" w:after="120"/>
    </w:pPr>
    <w:rPr>
      <w:rFonts w:ascii="Times New Roman" w:hAnsi="Times New Roman"/>
      <w:b/>
      <w:sz w:val="32"/>
    </w:rPr>
  </w:style>
  <w:style w:type="paragraph" w:customStyle="1" w:styleId="Heading2TOC">
    <w:name w:val="Heading2 TOC"/>
    <w:basedOn w:val="Normal"/>
    <w:qFormat/>
    <w:rsid w:val="003856E2"/>
    <w:pPr>
      <w:spacing w:before="240" w:after="60"/>
    </w:pPr>
    <w:rPr>
      <w:rFonts w:ascii="Times New Roman" w:hAnsi="Times New Roman"/>
      <w:b/>
      <w:sz w:val="28"/>
    </w:rPr>
  </w:style>
  <w:style w:type="character" w:customStyle="1" w:styleId="Underline">
    <w:name w:val="Underline"/>
    <w:basedOn w:val="DefaultParagraphFont"/>
    <w:qFormat/>
    <w:rsid w:val="003856E2"/>
    <w:rPr>
      <w:u w:val="single"/>
    </w:rPr>
  </w:style>
  <w:style w:type="character" w:customStyle="1" w:styleId="BoldandItalics">
    <w:name w:val="Bold and Italics"/>
    <w:qFormat/>
    <w:rsid w:val="003856E2"/>
    <w:rPr>
      <w:b/>
      <w:i/>
      <w:u w:val="none"/>
    </w:rPr>
  </w:style>
  <w:style w:type="paragraph" w:styleId="BalloonText">
    <w:name w:val="Balloon Text"/>
    <w:basedOn w:val="Normal"/>
    <w:link w:val="BalloonTextChar"/>
    <w:rsid w:val="003856E2"/>
    <w:rPr>
      <w:rFonts w:ascii="Tahoma" w:hAnsi="Tahoma" w:cs="Tahoma"/>
      <w:sz w:val="16"/>
      <w:szCs w:val="16"/>
    </w:rPr>
  </w:style>
  <w:style w:type="character" w:customStyle="1" w:styleId="BalloonTextChar">
    <w:name w:val="Balloon Text Char"/>
    <w:basedOn w:val="DefaultParagraphFont"/>
    <w:link w:val="BalloonText"/>
    <w:rsid w:val="003856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6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6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6E2"/>
    <w:rPr>
      <w:b/>
      <w:color w:val="660033"/>
      <w:spacing w:val="0"/>
    </w:rPr>
  </w:style>
  <w:style w:type="paragraph" w:customStyle="1" w:styleId="Nameditemlist">
    <w:name w:val="Named item list"/>
    <w:basedOn w:val="BodyText"/>
    <w:qFormat/>
    <w:rsid w:val="003856E2"/>
    <w:pPr>
      <w:tabs>
        <w:tab w:val="left" w:pos="2835"/>
      </w:tabs>
      <w:ind w:left="2835" w:hanging="2835"/>
    </w:pPr>
  </w:style>
  <w:style w:type="paragraph" w:customStyle="1" w:styleId="BodyTextnopadding">
    <w:name w:val="Body Text no padding"/>
    <w:basedOn w:val="BodyText"/>
    <w:qFormat/>
    <w:rsid w:val="003856E2"/>
    <w:pPr>
      <w:spacing w:before="0" w:after="0"/>
    </w:pPr>
  </w:style>
  <w:style w:type="paragraph" w:customStyle="1" w:styleId="BodyTextBold">
    <w:name w:val="Body Text Bold"/>
    <w:basedOn w:val="BodyText"/>
    <w:qFormat/>
    <w:rsid w:val="003856E2"/>
    <w:rPr>
      <w:b/>
    </w:rPr>
  </w:style>
  <w:style w:type="character" w:styleId="Hyperlink">
    <w:name w:val="Hyperlink"/>
    <w:basedOn w:val="DefaultParagraphFont"/>
    <w:uiPriority w:val="99"/>
    <w:unhideWhenUsed/>
    <w:rsid w:val="00FD0D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7115</Characters>
  <Application>Microsoft Office Word</Application>
  <DocSecurity>0</DocSecurity>
  <Lines>169</Lines>
  <Paragraphs>114</Paragraphs>
  <ScaleCrop>false</ScaleCrop>
  <Company>Author-it Software Corporation Ltd.</Company>
  <LinksUpToDate>false</LinksUpToDate>
  <CharactersWithSpaces>8128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RIIMPO328E Conduct continuous bucket trencher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2022-10-18T13:57:00Z</dcterms:created>
  <dcterms:modified xsi:type="dcterms:W3CDTF">2022-10-18T13:57:00Z</dcterms:modified>
</cp:coreProperties>
</file>