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DF2" w:rsidP="00224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RIIMPO314D Operate small open cut mine equipment</w:t>
      </w:r>
      <w:r>
        <w:fldChar w:fldCharType="end"/>
      </w:r>
    </w:p>
    <w:p w:rsidR="00224DF2" w:rsidP="00224DF2">
      <w:pPr>
        <w:pStyle w:val="Version"/>
        <w:sectPr w:rsidSect="004C7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4C76C3" w:rsidP="004C76C3">
      <w:pPr>
        <w:pStyle w:val="SuperHeading"/>
      </w:pPr>
      <w:r w:rsidRPr="004C76C3">
        <w:t>Assessment Requirements for RIIMPO314D Operate small open cut mine equipment</w:t>
      </w:r>
    </w:p>
    <w:p w:rsidR="00000000" w:rsidRPr="004C76C3" w:rsidP="004C76C3">
      <w:pPr>
        <w:pStyle w:val="Heading1"/>
      </w:pPr>
      <w:bookmarkStart w:id="1" w:name="O_796701"/>
      <w:bookmarkEnd w:id="1"/>
      <w:r w:rsidRPr="004C76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22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Heading4"/>
              <w:rPr>
                <w:lang w:val="en-NZ"/>
              </w:rPr>
            </w:pPr>
            <w:r w:rsidRPr="004C76C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Heading4"/>
              <w:rPr>
                <w:lang w:val="en-NZ"/>
              </w:rPr>
            </w:pPr>
            <w:r w:rsidRPr="004C76C3">
              <w:t>Comment</w:t>
            </w:r>
          </w:p>
        </w:tc>
      </w:tr>
      <w:tr w:rsidTr="0022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This unit replaces RIIMPO314A Operate small open cut mine equipment.</w:t>
            </w:r>
            <w:r w:rsidRPr="004C76C3">
              <w:br/>
            </w:r>
            <w:r w:rsidRPr="004C76C3">
              <w:t>Performance Criteria amended to include Manoeuvring, Driving, Parking Up; requirements made more explicit; Housekeeping element added and differentiated from Operator Maintenance.</w:t>
            </w:r>
          </w:p>
        </w:tc>
      </w:tr>
      <w:tr w:rsidTr="0022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Editorial corrections; Modification History added.</w:t>
            </w:r>
          </w:p>
        </w:tc>
      </w:tr>
      <w:tr w:rsidTr="0022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 xml:space="preserve">Removed repetition </w:t>
            </w:r>
            <w:r w:rsidRPr="004C76C3">
              <w:t>from Performance Criteria; amended Performance Evidence wording; amend reference to Licensing requirements in Unit Application; editorial corrections.</w:t>
            </w:r>
          </w:p>
        </w:tc>
      </w:tr>
      <w:tr w:rsidTr="00224D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Required frequency and volume of evidence amended in Performance evidence.</w:t>
            </w:r>
            <w:r w:rsidRPr="004C76C3">
              <w:br/>
              <w:t>Substantial amendments made</w:t>
            </w:r>
            <w:r w:rsidRPr="004C76C3">
              <w:t xml:space="preserve"> in Assessment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224D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C3" w:rsidP="004C76C3">
            <w:pPr>
              <w:pStyle w:val="BodyText"/>
            </w:pPr>
            <w:r w:rsidRPr="004C76C3">
              <w:t>Editorial correction to Performance Evidence, removal of 'during the three occasions'. No new content.</w:t>
            </w:r>
          </w:p>
        </w:tc>
      </w:tr>
    </w:tbl>
    <w:p w:rsidR="00000000" w:rsidRPr="004C76C3" w:rsidP="004C76C3">
      <w:pPr>
        <w:pStyle w:val="BodyText"/>
      </w:pPr>
    </w:p>
    <w:p w:rsidR="00000000" w:rsidRPr="004C76C3" w:rsidP="004C76C3">
      <w:pPr>
        <w:pStyle w:val="AllowPageBreak"/>
      </w:pPr>
    </w:p>
    <w:p w:rsidR="00000000" w:rsidRPr="004C76C3" w:rsidP="004C76C3">
      <w:pPr>
        <w:pStyle w:val="Heading1"/>
      </w:pPr>
      <w:bookmarkStart w:id="2" w:name="O_796700"/>
      <w:bookmarkEnd w:id="2"/>
      <w:r w:rsidRPr="004C76C3">
        <w:t>Performance Evidence</w:t>
      </w:r>
    </w:p>
    <w:p w:rsidR="00000000" w:rsidRPr="004C76C3" w:rsidP="004C76C3">
      <w:pPr>
        <w:pStyle w:val="BodyText"/>
      </w:pPr>
      <w:r w:rsidRPr="004C76C3">
        <w:t>Evidence is required to be collected that demonstrates a candidate’s competency in this unit. Evidence must be re</w:t>
      </w:r>
      <w:r w:rsidRPr="004C76C3">
        <w:t>levant to the roles within this sector’s work operations and satisfy all of the requirements of the performance criteria of this unit and include evidence that the candidate:</w:t>
      </w:r>
    </w:p>
    <w:p w:rsidR="00000000" w:rsidRPr="004C76C3" w:rsidP="004C76C3">
      <w:pPr>
        <w:pStyle w:val="ListBullet"/>
      </w:pPr>
      <w:r w:rsidRPr="004C76C3">
        <w:t>locates and applies relevant documentation, policies and procedures</w:t>
      </w:r>
    </w:p>
    <w:p w:rsidR="00000000" w:rsidRPr="004C76C3" w:rsidP="004C76C3">
      <w:pPr>
        <w:pStyle w:val="ListBullet"/>
      </w:pPr>
      <w:r w:rsidRPr="004C76C3">
        <w:t>implements t</w:t>
      </w:r>
      <w:r w:rsidRPr="004C76C3">
        <w:t>he requirements, procedures and techniques for the safe, effective and efficient operation of small open-cut mine equipment including:</w:t>
      </w:r>
    </w:p>
    <w:p w:rsidR="00000000" w:rsidRPr="004C76C3" w:rsidP="004C76C3">
      <w:pPr>
        <w:pStyle w:val="ListBullet2"/>
      </w:pPr>
      <w:r w:rsidRPr="004C76C3">
        <w:t>conducting prestart checks prior to commencing operations and shutdown procedures on completion of operations</w:t>
      </w:r>
    </w:p>
    <w:p w:rsidR="00000000" w:rsidRPr="004C76C3" w:rsidP="004C76C3">
      <w:pPr>
        <w:pStyle w:val="ListBullet2"/>
      </w:pPr>
      <w:r w:rsidRPr="004C76C3">
        <w:t>carrying out vehicle refuelling requirements and procedures</w:t>
      </w:r>
    </w:p>
    <w:p w:rsidR="00000000" w:rsidRPr="004C76C3" w:rsidP="004C76C3">
      <w:pPr>
        <w:pStyle w:val="ListBullet2"/>
      </w:pPr>
      <w:r w:rsidRPr="004C76C3">
        <w:t>driving and operating the equipment to site conditions</w:t>
      </w:r>
    </w:p>
    <w:p w:rsidR="00000000" w:rsidRPr="004C76C3" w:rsidP="004C76C3">
      <w:pPr>
        <w:pStyle w:val="ListBullet2"/>
      </w:pPr>
      <w:r w:rsidRPr="004C76C3">
        <w:t>applying safe work practices and identifying and reporting all potential hazards, risks and environmental issues</w:t>
      </w:r>
    </w:p>
    <w:p w:rsidR="00000000" w:rsidRPr="004C76C3" w:rsidP="004C76C3">
      <w:pPr>
        <w:pStyle w:val="ListBullet2"/>
      </w:pPr>
      <w:r w:rsidRPr="004C76C3">
        <w:t>applying problem solving and</w:t>
      </w:r>
      <w:r w:rsidRPr="004C76C3">
        <w:t xml:space="preserve"> troubleshooting techniques</w:t>
      </w:r>
    </w:p>
    <w:p w:rsidR="00000000" w:rsidRPr="004C76C3" w:rsidP="004C76C3">
      <w:pPr>
        <w:pStyle w:val="ListBullet2"/>
      </w:pPr>
      <w:r w:rsidRPr="004C76C3">
        <w:t>applying lifting techniques</w:t>
      </w:r>
    </w:p>
    <w:p w:rsidR="00000000" w:rsidRPr="004C76C3" w:rsidP="004C76C3">
      <w:pPr>
        <w:pStyle w:val="ListBullet2"/>
      </w:pPr>
      <w:r w:rsidRPr="004C76C3">
        <w:t>selecting and using the required tools and equipment</w:t>
      </w:r>
    </w:p>
    <w:p w:rsidR="00000000" w:rsidRPr="004C76C3" w:rsidP="004C76C3">
      <w:pPr>
        <w:pStyle w:val="ListBullet2"/>
      </w:pPr>
      <w:r w:rsidRPr="004C76C3">
        <w:t>working safely around other machines and personnel</w:t>
      </w:r>
    </w:p>
    <w:p w:rsidR="00000000" w:rsidRPr="004C76C3" w:rsidP="004C76C3">
      <w:pPr>
        <w:pStyle w:val="ListBullet"/>
      </w:pPr>
      <w:r w:rsidRPr="004C76C3">
        <w:t>works effectively with others to undertake and complete the operation of small open-cut mine eq</w:t>
      </w:r>
      <w:r w:rsidRPr="004C76C3">
        <w:t>uipment that meets all of the required outcomes including:</w:t>
      </w:r>
    </w:p>
    <w:p w:rsidR="00000000" w:rsidRPr="004C76C3" w:rsidP="004C76C3">
      <w:pPr>
        <w:pStyle w:val="ListBullet2"/>
      </w:pPr>
      <w:r w:rsidRPr="004C76C3">
        <w:t>using a range of communications techniques and equipment to convey information to others</w:t>
      </w:r>
    </w:p>
    <w:p w:rsidR="00000000" w:rsidRPr="004C76C3" w:rsidP="004C76C3">
      <w:pPr>
        <w:pStyle w:val="ListBullet2"/>
      </w:pPr>
      <w:r w:rsidRPr="004C76C3">
        <w:t>maintaining written and verbal reporting requirements and procedures</w:t>
      </w:r>
    </w:p>
    <w:p w:rsidR="00000000" w:rsidRPr="004C76C3" w:rsidP="004C76C3">
      <w:pPr>
        <w:pStyle w:val="ListBullet2"/>
      </w:pPr>
      <w:r w:rsidRPr="004C76C3">
        <w:t>organising work activities to meet all</w:t>
      </w:r>
      <w:r w:rsidRPr="004C76C3">
        <w:t xml:space="preserve"> task requirements</w:t>
      </w:r>
    </w:p>
    <w:p w:rsidR="00000000" w:rsidRPr="004C76C3" w:rsidP="004C76C3">
      <w:pPr>
        <w:pStyle w:val="ListBullet2"/>
      </w:pPr>
      <w:r w:rsidRPr="004C76C3">
        <w:t>communicating clearly and concisely with others to receive and clarify work instructions</w:t>
      </w:r>
    </w:p>
    <w:p w:rsidR="00000000" w:rsidRPr="004C76C3" w:rsidP="004C76C3">
      <w:pPr>
        <w:pStyle w:val="ListBullet"/>
      </w:pPr>
      <w:r w:rsidRPr="004C76C3">
        <w:t>demonstrates completion of operating small open cut mine equipment that safely, effectively and efficiently meets all of the required outcomes on m</w:t>
      </w:r>
      <w:r w:rsidRPr="004C76C3">
        <w:t>ore than one (1) occasion including:</w:t>
      </w:r>
    </w:p>
    <w:p w:rsidR="00000000" w:rsidRPr="004C76C3" w:rsidP="004C76C3">
      <w:pPr>
        <w:pStyle w:val="ListBullet2"/>
      </w:pPr>
      <w:r w:rsidRPr="004C76C3">
        <w:t>using a variety of attachments including:</w:t>
      </w:r>
    </w:p>
    <w:p w:rsidR="00000000" w:rsidRPr="004C76C3" w:rsidP="004C76C3">
      <w:pPr>
        <w:pStyle w:val="ListBullet3"/>
      </w:pPr>
      <w:r w:rsidRPr="004C76C3">
        <w:t>buckets</w:t>
      </w:r>
    </w:p>
    <w:p w:rsidR="00000000" w:rsidRPr="004C76C3" w:rsidP="004C76C3">
      <w:pPr>
        <w:pStyle w:val="ListBullet3"/>
      </w:pPr>
      <w:r w:rsidRPr="004C76C3">
        <w:t>auger</w:t>
      </w:r>
    </w:p>
    <w:p w:rsidR="00000000" w:rsidRPr="004C76C3" w:rsidP="004C76C3">
      <w:pPr>
        <w:pStyle w:val="ListBullet3"/>
      </w:pPr>
      <w:r w:rsidRPr="004C76C3">
        <w:t>grass cutter</w:t>
      </w:r>
    </w:p>
    <w:p w:rsidR="00000000" w:rsidRPr="004C76C3" w:rsidP="004C76C3">
      <w:pPr>
        <w:pStyle w:val="ListBullet3"/>
      </w:pPr>
      <w:r w:rsidRPr="004C76C3">
        <w:t>brush cutter</w:t>
      </w:r>
    </w:p>
    <w:p w:rsidR="00000000" w:rsidRPr="004C76C3" w:rsidP="004C76C3">
      <w:pPr>
        <w:pStyle w:val="ListBullet3"/>
      </w:pPr>
      <w:r w:rsidRPr="004C76C3">
        <w:t>slasher</w:t>
      </w:r>
    </w:p>
    <w:p w:rsidR="00000000" w:rsidRPr="004C76C3" w:rsidP="004C76C3">
      <w:pPr>
        <w:pStyle w:val="ListBullet3"/>
      </w:pPr>
      <w:r w:rsidRPr="004C76C3">
        <w:t>pneumatic hammer</w:t>
      </w:r>
    </w:p>
    <w:p w:rsidR="00000000" w:rsidRPr="004C76C3" w:rsidP="004C76C3">
      <w:pPr>
        <w:pStyle w:val="ListBullet3"/>
      </w:pPr>
      <w:r w:rsidRPr="004C76C3">
        <w:t>shovel</w:t>
      </w:r>
    </w:p>
    <w:p w:rsidR="00000000" w:rsidRPr="004C76C3" w:rsidP="004C76C3">
      <w:pPr>
        <w:pStyle w:val="ListBullet3"/>
      </w:pPr>
      <w:r w:rsidRPr="004C76C3">
        <w:t>plough</w:t>
      </w:r>
    </w:p>
    <w:p w:rsidR="00000000" w:rsidRPr="004C76C3" w:rsidP="004C76C3">
      <w:pPr>
        <w:pStyle w:val="ListBullet3"/>
      </w:pPr>
      <w:r w:rsidRPr="004C76C3">
        <w:t xml:space="preserve">rotary hoe </w:t>
      </w:r>
    </w:p>
    <w:p w:rsidR="00000000" w:rsidRPr="004C76C3" w:rsidP="004C76C3">
      <w:pPr>
        <w:pStyle w:val="ListBullet3"/>
      </w:pPr>
      <w:r w:rsidRPr="004C76C3">
        <w:t>any other commercially or site produced attachment</w:t>
      </w:r>
    </w:p>
    <w:p w:rsidR="00000000" w:rsidRPr="004C76C3" w:rsidP="004C76C3">
      <w:pPr>
        <w:pStyle w:val="AllowPageBreak"/>
      </w:pPr>
    </w:p>
    <w:p w:rsidR="00000000" w:rsidRPr="004C76C3" w:rsidP="004C76C3">
      <w:pPr>
        <w:pStyle w:val="Heading1"/>
      </w:pPr>
      <w:bookmarkStart w:id="3" w:name="O_796699"/>
      <w:bookmarkEnd w:id="3"/>
      <w:r w:rsidRPr="004C76C3">
        <w:t>Knowledge Evidence</w:t>
      </w:r>
    </w:p>
    <w:p w:rsidR="00000000" w:rsidRPr="004C76C3" w:rsidP="004C76C3">
      <w:pPr>
        <w:pStyle w:val="BodyText"/>
      </w:pPr>
      <w:r w:rsidRPr="004C76C3">
        <w:t>The candidate must demonstrate knowledge of the following when operating small open cut mine equipment:</w:t>
      </w:r>
    </w:p>
    <w:p w:rsidR="00000000" w:rsidRPr="004C76C3" w:rsidP="004C76C3">
      <w:pPr>
        <w:pStyle w:val="ListBullet2"/>
      </w:pPr>
      <w:r w:rsidRPr="004C76C3">
        <w:t>identifying, interpreting ground conditions</w:t>
      </w:r>
    </w:p>
    <w:p w:rsidR="00000000" w:rsidRPr="004C76C3" w:rsidP="004C76C3">
      <w:pPr>
        <w:pStyle w:val="ListBullet2"/>
      </w:pPr>
      <w:r w:rsidRPr="004C76C3">
        <w:t>communicating and performing isolation procedures</w:t>
      </w:r>
    </w:p>
    <w:p w:rsidR="00000000" w:rsidRPr="004C76C3" w:rsidP="004C76C3">
      <w:pPr>
        <w:pStyle w:val="ListBullet2"/>
      </w:pPr>
      <w:r w:rsidRPr="004C76C3">
        <w:t>equipment and ancillary attachment characteristics, technical capabilities and limitations</w:t>
      </w:r>
    </w:p>
    <w:p w:rsidR="00000000" w:rsidRPr="004C76C3" w:rsidP="004C76C3">
      <w:pPr>
        <w:pStyle w:val="ListBullet2"/>
      </w:pPr>
      <w:r w:rsidRPr="004C76C3">
        <w:t>identifying, interpreting and using geological and technical data (basic)</w:t>
      </w:r>
    </w:p>
    <w:p w:rsidR="00000000" w:rsidRPr="004C76C3" w:rsidP="004C76C3">
      <w:pPr>
        <w:pStyle w:val="ListBullet2"/>
      </w:pPr>
      <w:r w:rsidRPr="004C76C3">
        <w:t>being prepared for fire/accident/emergency</w:t>
      </w:r>
    </w:p>
    <w:p w:rsidR="00000000" w:rsidRPr="004C76C3" w:rsidP="004C76C3">
      <w:pPr>
        <w:pStyle w:val="ListBullet2"/>
      </w:pPr>
      <w:r w:rsidRPr="004C76C3">
        <w:t>identifying signs of operator fatigue and how it</w:t>
      </w:r>
      <w:r w:rsidRPr="004C76C3">
        <w:t xml:space="preserve"> should be managed</w:t>
      </w:r>
    </w:p>
    <w:p w:rsidR="00000000" w:rsidRPr="004C76C3" w:rsidP="004C76C3">
      <w:pPr>
        <w:pStyle w:val="ListBullet2"/>
      </w:pPr>
      <w:r w:rsidRPr="004C76C3">
        <w:t>applying operational, maintenance and basic diagnostics</w:t>
      </w:r>
    </w:p>
    <w:p w:rsidR="00000000" w:rsidRPr="004C76C3" w:rsidP="004C76C3">
      <w:pPr>
        <w:pStyle w:val="ListBullet2"/>
      </w:pPr>
      <w:r w:rsidRPr="004C76C3">
        <w:t>completing housekeeping activities</w:t>
      </w:r>
    </w:p>
    <w:p w:rsidR="00000000" w:rsidRPr="004C76C3" w:rsidP="004C76C3">
      <w:pPr>
        <w:pStyle w:val="AllowPageBreak"/>
      </w:pPr>
    </w:p>
    <w:p w:rsidR="00000000" w:rsidRPr="004C76C3" w:rsidP="004C76C3">
      <w:pPr>
        <w:pStyle w:val="Heading1"/>
      </w:pPr>
      <w:bookmarkStart w:id="4" w:name="O_796698"/>
      <w:bookmarkEnd w:id="4"/>
      <w:r w:rsidRPr="004C76C3">
        <w:t>Assessment Conditions</w:t>
      </w:r>
    </w:p>
    <w:p w:rsidR="00000000" w:rsidRPr="004C76C3" w:rsidP="004C76C3">
      <w:pPr>
        <w:pStyle w:val="ListBullet"/>
      </w:pPr>
      <w:r w:rsidRPr="004C76C3">
        <w:t>An assessor of this unit must satisfy the requirements of the NVR/AQTF or their successors; and Industry r</w:t>
      </w:r>
      <w:r w:rsidRPr="004C76C3">
        <w:t xml:space="preserve">egulations for certification and licensing; and, </w:t>
      </w:r>
    </w:p>
    <w:p w:rsidR="00000000" w:rsidRPr="004C76C3" w:rsidP="004C76C3">
      <w:pPr>
        <w:pStyle w:val="ListBullet"/>
      </w:pPr>
      <w:r w:rsidRPr="004C76C3">
        <w:t>this unit must be assessed in the context of this sector’s work environment; and,</w:t>
      </w:r>
    </w:p>
    <w:p w:rsidR="00000000" w:rsidRPr="004C76C3" w:rsidP="004C76C3">
      <w:pPr>
        <w:pStyle w:val="ListBullet"/>
      </w:pPr>
      <w:r w:rsidRPr="004C76C3">
        <w:t>this unit must be assessed in compliance with relevant legislation/regulation and using polici</w:t>
      </w:r>
      <w:r w:rsidRPr="004C76C3">
        <w:t>es, procedures, processes and operational manuals directly related to the industry sector for which it is being assessed; and,</w:t>
      </w:r>
    </w:p>
    <w:p w:rsidR="00000000" w:rsidRPr="004C76C3" w:rsidP="004C76C3">
      <w:pPr>
        <w:pStyle w:val="ListBullet"/>
      </w:pPr>
      <w:r w:rsidRPr="004C76C3">
        <w:t>assessment may be conducted in conjunction with the assessment of other Units of Competency; and,</w:t>
      </w:r>
    </w:p>
    <w:p w:rsidR="00000000" w:rsidRPr="004C76C3" w:rsidP="004C76C3">
      <w:pPr>
        <w:pStyle w:val="ListBullet"/>
      </w:pPr>
      <w:r w:rsidRPr="004C76C3">
        <w:t>assessment must confirm consist</w:t>
      </w:r>
      <w:r w:rsidRPr="004C76C3">
        <w:t>ent performance can be applied in a range of relevant workplace circumstances; and,</w:t>
      </w:r>
    </w:p>
    <w:p w:rsidR="00000000" w:rsidRPr="004C76C3" w:rsidP="004C76C3">
      <w:pPr>
        <w:pStyle w:val="ListBullet"/>
      </w:pPr>
      <w:r w:rsidRPr="004C76C3">
        <w:t>assessors must demonstrate the performance evidence, and knowledge evidence as outlined in this Unit of Competency, and through the minimum years of current* work experienc</w:t>
      </w:r>
      <w:r w:rsidRPr="004C76C3">
        <w:t>e specified below in an Industry sector relevant to the outcomes of the unit; or,</w:t>
      </w:r>
    </w:p>
    <w:p w:rsidR="00000000" w:rsidRPr="004C76C3" w:rsidP="004C76C3">
      <w:pPr>
        <w:pStyle w:val="ListBullet"/>
      </w:pPr>
      <w:r w:rsidRPr="004C76C3">
        <w:t>where the assessor does not meet experience requirements a co-assessment or partnership arrangement must exist between the qualified assessor and an Industry subject matter e</w:t>
      </w:r>
      <w:r w:rsidRPr="004C76C3">
        <w:t>xpert. The Industry subject matter expert should hold the unit being assessed (or an equivalent unit) and/or demonstrate equivalence of skills and knowledge at the unit level. An Industry technical expert must also demonstrate skills and knowledge from the</w:t>
      </w:r>
      <w:r w:rsidRPr="004C76C3">
        <w:t xml:space="preserve"> minimum years of current work experience specified below in the Industry sector, including time spent in roles related to the unit being assessed; and,</w:t>
      </w:r>
    </w:p>
    <w:p w:rsidR="00000000" w:rsidRPr="004C76C3" w:rsidP="004C76C3">
      <w:pPr>
        <w:pStyle w:val="ListBullet"/>
      </w:pPr>
      <w:r w:rsidRPr="004C76C3">
        <w:t>assessor and Industry subject matter expert requirements differ depending on the Australian Qualificati</w:t>
      </w:r>
      <w:r w:rsidRPr="004C76C3">
        <w:t>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C7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Heading4"/>
              <w:rPr>
                <w:lang w:val="en-NZ"/>
              </w:rPr>
            </w:pPr>
            <w:r w:rsidRPr="004C76C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Heading4"/>
              <w:rPr>
                <w:lang w:val="en-NZ"/>
              </w:rPr>
            </w:pPr>
            <w:r w:rsidRPr="004C76C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Heading4"/>
              <w:rPr>
                <w:lang w:val="en-NZ"/>
              </w:rPr>
            </w:pPr>
            <w:r w:rsidRPr="004C76C3">
              <w:t>Required assessor or Industry subject matter expert experience</w:t>
            </w:r>
          </w:p>
        </w:tc>
      </w:tr>
      <w:tr w:rsidTr="004C7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Drilling, Metalliferous Mining, Coal Mining, Extractive (Quarrying)</w:t>
            </w:r>
            <w:r w:rsidRPr="004C76C3">
              <w:t xml:space="preserve">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1 Year</w:t>
            </w:r>
          </w:p>
        </w:tc>
      </w:tr>
      <w:tr w:rsidTr="004C7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2 Years</w:t>
            </w:r>
          </w:p>
        </w:tc>
      </w:tr>
      <w:tr w:rsidTr="004C7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3 Years</w:t>
            </w:r>
          </w:p>
        </w:tc>
      </w:tr>
      <w:tr w:rsidTr="004C7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5 Years</w:t>
            </w:r>
          </w:p>
        </w:tc>
      </w:tr>
      <w:tr w:rsidTr="004C7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76C3">
            <w:pPr>
              <w:pStyle w:val="BodyText"/>
              <w:rPr>
                <w:lang w:val="en-NZ"/>
              </w:rPr>
            </w:pPr>
            <w:r w:rsidRPr="004C76C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76C3" w:rsidP="004C76C3">
            <w:pPr>
              <w:pStyle w:val="BodyText"/>
            </w:pPr>
            <w:r w:rsidRPr="004C76C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C76C3">
              <w:t>ndard is specified should comply with any relevant regulation.</w:t>
            </w:r>
          </w:p>
        </w:tc>
      </w:tr>
    </w:tbl>
    <w:p w:rsidR="00000000" w:rsidRPr="004C76C3" w:rsidP="004C76C3">
      <w:pPr>
        <w:pStyle w:val="BodyText"/>
      </w:pPr>
      <w:r w:rsidRPr="004C76C3">
        <w:t>*Assessors can demonstrate current work experience through employment within Industry in a role relevant to the outcomes of the Unit; or, for external assessors this can be demonstrated throu</w:t>
      </w:r>
      <w:r w:rsidRPr="004C76C3">
        <w:t>gh exposure to Industry by conducting frequent site assessments across various locations.</w:t>
      </w:r>
    </w:p>
    <w:p w:rsidR="00000000" w:rsidRPr="004C76C3" w:rsidP="004C76C3">
      <w:pPr>
        <w:pStyle w:val="BodyText"/>
      </w:pPr>
      <w:r w:rsidRPr="004C76C3">
        <w:t>**Where a unit is being delivered outside of a Qualification the first numeric character in the Unit code should be considered to indicate the AQF level</w:t>
      </w:r>
    </w:p>
    <w:p w:rsidR="00000000" w:rsidRPr="004C76C3" w:rsidP="004C76C3">
      <w:pPr>
        <w:pStyle w:val="AllowPageBreak"/>
      </w:pPr>
    </w:p>
    <w:p w:rsidR="00000000" w:rsidRPr="004C76C3" w:rsidP="004C76C3">
      <w:pPr>
        <w:pStyle w:val="Heading1"/>
      </w:pPr>
      <w:bookmarkStart w:id="5" w:name="O_796710"/>
      <w:bookmarkEnd w:id="5"/>
      <w:r w:rsidRPr="004C76C3">
        <w:t>Links</w:t>
      </w:r>
    </w:p>
    <w:p w:rsidR="00000000" w:rsidRPr="004C76C3" w:rsidP="004C76C3">
      <w:pPr>
        <w:pStyle w:val="BodyText"/>
      </w:pPr>
      <w:r w:rsidRPr="004C76C3">
        <w:t>SkillsDMC RII Companion Volumes - http://www.skillsdmc.com.au/</w:t>
      </w:r>
    </w:p>
    <w:p w:rsidR="00000000" w:rsidRPr="004C76C3" w:rsidP="004C76C3"/>
    <w:sectPr w:rsidSect="004C76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3" w:rsidRPr="00224DF2" w:rsidP="00224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2" w:rsidP="004C7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DF2" w:rsidP="004C7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24DF2" w:rsidP="004C7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3" w:rsidRPr="00224DF2" w:rsidP="00224D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F2" w:rsidRPr="002D2AF8" w:rsidP="004C7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RIIMPO314D Operate small open cut mine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224DF2" w:rsidP="004C7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09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69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2A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6C3"/>
  </w:style>
  <w:style w:type="character" w:customStyle="1" w:styleId="Heading1Char">
    <w:name w:val="Heading 1 Char"/>
    <w:basedOn w:val="DefaultParagraphFont"/>
    <w:link w:val="Heading1"/>
    <w:rsid w:val="004C7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6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C76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6C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6C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76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7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6C3"/>
    <w:rPr>
      <w:b/>
      <w:spacing w:val="0"/>
    </w:rPr>
  </w:style>
  <w:style w:type="paragraph" w:customStyle="1" w:styleId="SuperTitle">
    <w:name w:val="SuperTitle"/>
    <w:basedOn w:val="Title"/>
    <w:rsid w:val="004C7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6C3"/>
    <w:rPr>
      <w:i/>
    </w:rPr>
  </w:style>
  <w:style w:type="paragraph" w:styleId="Caption">
    <w:name w:val="caption"/>
    <w:basedOn w:val="BodyText"/>
    <w:next w:val="Normal"/>
    <w:qFormat/>
    <w:rsid w:val="004C7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6C3"/>
  </w:style>
  <w:style w:type="paragraph" w:styleId="TableofFigures">
    <w:name w:val="table of figures"/>
    <w:basedOn w:val="Normal"/>
    <w:next w:val="Normal"/>
    <w:semiHidden/>
    <w:rsid w:val="004C7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6C3"/>
    <w:pPr>
      <w:numPr>
        <w:numId w:val="12"/>
      </w:numPr>
    </w:pPr>
  </w:style>
  <w:style w:type="character" w:customStyle="1" w:styleId="WingdingSymbols">
    <w:name w:val="Wingding Symbols"/>
    <w:rsid w:val="004C76C3"/>
    <w:rPr>
      <w:rFonts w:ascii="Wingdings" w:hAnsi="Wingdings"/>
    </w:rPr>
  </w:style>
  <w:style w:type="paragraph" w:customStyle="1" w:styleId="TableHeading">
    <w:name w:val="Table Heading"/>
    <w:basedOn w:val="HeadingBase"/>
    <w:rsid w:val="004C7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6C3"/>
    <w:rPr>
      <w:color w:val="0033CC"/>
      <w:u w:val="none"/>
    </w:rPr>
  </w:style>
  <w:style w:type="paragraph" w:customStyle="1" w:styleId="BodyTextRight">
    <w:name w:val="Body Text Right"/>
    <w:basedOn w:val="BodyText"/>
    <w:rsid w:val="004C7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6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6C3"/>
    <w:rPr>
      <w:sz w:val="32"/>
    </w:rPr>
  </w:style>
  <w:style w:type="paragraph" w:customStyle="1" w:styleId="HeadingProcedure">
    <w:name w:val="Heading Procedure"/>
    <w:basedOn w:val="HeadingBase"/>
    <w:next w:val="Normal"/>
    <w:rsid w:val="004C7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6C3"/>
    <w:pPr>
      <w:spacing w:before="60" w:after="60"/>
    </w:pPr>
  </w:style>
  <w:style w:type="paragraph" w:styleId="ListContinue">
    <w:name w:val="List Continue"/>
    <w:basedOn w:val="List"/>
    <w:rsid w:val="004C76C3"/>
    <w:pPr>
      <w:ind w:firstLine="0"/>
    </w:pPr>
  </w:style>
  <w:style w:type="paragraph" w:customStyle="1" w:styleId="ListNote">
    <w:name w:val="List Note"/>
    <w:basedOn w:val="List"/>
    <w:rsid w:val="004C7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6C3"/>
    <w:rPr>
      <w:rFonts w:ascii="Courier New" w:hAnsi="Courier New"/>
    </w:rPr>
  </w:style>
  <w:style w:type="paragraph" w:customStyle="1" w:styleId="NoteBullet">
    <w:name w:val="Note Bullet"/>
    <w:basedOn w:val="Note"/>
    <w:rsid w:val="004C7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6C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C7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6C3"/>
    <w:rPr>
      <w:b/>
      <w:smallCaps/>
    </w:rPr>
  </w:style>
  <w:style w:type="paragraph" w:customStyle="1" w:styleId="TableListNumber">
    <w:name w:val="Table List Number"/>
    <w:basedOn w:val="ListNumber"/>
    <w:rsid w:val="004C7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6C3"/>
    <w:pPr>
      <w:numPr>
        <w:numId w:val="10"/>
      </w:numPr>
    </w:pPr>
  </w:style>
  <w:style w:type="paragraph" w:customStyle="1" w:styleId="ListAlpha2">
    <w:name w:val="List Alpha 2"/>
    <w:basedOn w:val="List2"/>
    <w:rsid w:val="004C76C3"/>
    <w:pPr>
      <w:numPr>
        <w:numId w:val="9"/>
      </w:numPr>
    </w:pPr>
  </w:style>
  <w:style w:type="paragraph" w:styleId="List2">
    <w:name w:val="List 2"/>
    <w:basedOn w:val="BodyText"/>
    <w:rsid w:val="004C7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6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76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76C3"/>
    <w:pPr>
      <w:numPr>
        <w:numId w:val="5"/>
      </w:numPr>
    </w:pPr>
  </w:style>
  <w:style w:type="paragraph" w:styleId="ListContinue2">
    <w:name w:val="List Continue 2"/>
    <w:basedOn w:val="List2"/>
    <w:rsid w:val="004C76C3"/>
    <w:pPr>
      <w:ind w:firstLine="0"/>
    </w:pPr>
  </w:style>
  <w:style w:type="paragraph" w:styleId="ListContinue3">
    <w:name w:val="List Continue 3"/>
    <w:basedOn w:val="List3"/>
    <w:rsid w:val="004C76C3"/>
    <w:pPr>
      <w:ind w:left="1021" w:firstLine="0"/>
    </w:pPr>
  </w:style>
  <w:style w:type="paragraph" w:styleId="ListContinue4">
    <w:name w:val="List Continue 4"/>
    <w:basedOn w:val="List4"/>
    <w:rsid w:val="004C76C3"/>
    <w:pPr>
      <w:ind w:firstLine="0"/>
    </w:pPr>
  </w:style>
  <w:style w:type="paragraph" w:styleId="ListContinue5">
    <w:name w:val="List Continue 5"/>
    <w:basedOn w:val="List5"/>
    <w:rsid w:val="004C76C3"/>
    <w:pPr>
      <w:ind w:firstLine="0"/>
    </w:pPr>
  </w:style>
  <w:style w:type="paragraph" w:styleId="ListNumber3">
    <w:name w:val="List Number 3"/>
    <w:basedOn w:val="List3"/>
    <w:rsid w:val="004C76C3"/>
    <w:pPr>
      <w:numPr>
        <w:numId w:val="6"/>
      </w:numPr>
    </w:pPr>
  </w:style>
  <w:style w:type="paragraph" w:styleId="ListNumber4">
    <w:name w:val="List Number 4"/>
    <w:basedOn w:val="List4"/>
    <w:rsid w:val="004C76C3"/>
    <w:pPr>
      <w:numPr>
        <w:numId w:val="7"/>
      </w:numPr>
    </w:pPr>
  </w:style>
  <w:style w:type="paragraph" w:styleId="ListNumber5">
    <w:name w:val="List Number 5"/>
    <w:basedOn w:val="List5"/>
    <w:rsid w:val="004C76C3"/>
    <w:pPr>
      <w:numPr>
        <w:numId w:val="8"/>
      </w:numPr>
    </w:pPr>
  </w:style>
  <w:style w:type="paragraph" w:styleId="BlockText">
    <w:name w:val="Block Text"/>
    <w:basedOn w:val="Normal"/>
    <w:rsid w:val="004C7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6C3"/>
    <w:rPr>
      <w:sz w:val="16"/>
      <w:vertAlign w:val="superscript"/>
    </w:rPr>
  </w:style>
  <w:style w:type="character" w:customStyle="1" w:styleId="Symbols">
    <w:name w:val="Symbols"/>
    <w:basedOn w:val="DefaultParagraphFont"/>
    <w:rsid w:val="004C76C3"/>
    <w:rPr>
      <w:rFonts w:ascii="Symbol" w:hAnsi="Symbol"/>
    </w:rPr>
  </w:style>
  <w:style w:type="character" w:customStyle="1" w:styleId="MenuOptions">
    <w:name w:val="Menu Options"/>
    <w:basedOn w:val="DefaultParagraphFont"/>
    <w:rsid w:val="004C7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6C3"/>
    <w:rPr>
      <w:b/>
    </w:rPr>
  </w:style>
  <w:style w:type="character" w:customStyle="1" w:styleId="Underlined">
    <w:name w:val="Underlined"/>
    <w:basedOn w:val="DefaultParagraphFont"/>
    <w:rsid w:val="004C76C3"/>
    <w:rPr>
      <w:u w:val="single"/>
    </w:rPr>
  </w:style>
  <w:style w:type="paragraph" w:customStyle="1" w:styleId="TableBodyTextRight">
    <w:name w:val="Table Body Text Right"/>
    <w:basedOn w:val="TableBodyText"/>
    <w:rsid w:val="004C7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6C3"/>
    <w:rPr>
      <w:sz w:val="18"/>
    </w:rPr>
  </w:style>
  <w:style w:type="paragraph" w:customStyle="1" w:styleId="BodySmallRight">
    <w:name w:val="Body Small Right"/>
    <w:basedOn w:val="BodyTextRight"/>
    <w:rsid w:val="004C76C3"/>
    <w:rPr>
      <w:sz w:val="18"/>
      <w:szCs w:val="18"/>
    </w:rPr>
  </w:style>
  <w:style w:type="paragraph" w:customStyle="1" w:styleId="MarginEdition">
    <w:name w:val="Margin Edition"/>
    <w:basedOn w:val="MarginNote"/>
    <w:rsid w:val="004C7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6C3"/>
    <w:rPr>
      <w:sz w:val="2"/>
      <w:szCs w:val="2"/>
    </w:rPr>
  </w:style>
  <w:style w:type="character" w:customStyle="1" w:styleId="Small">
    <w:name w:val="Small"/>
    <w:basedOn w:val="DefaultParagraphFont"/>
    <w:rsid w:val="004C76C3"/>
    <w:rPr>
      <w:sz w:val="16"/>
    </w:rPr>
  </w:style>
  <w:style w:type="paragraph" w:customStyle="1" w:styleId="WideTable">
    <w:name w:val="Wide Table"/>
    <w:basedOn w:val="Normal"/>
    <w:rsid w:val="004C7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6C3"/>
  </w:style>
  <w:style w:type="paragraph" w:styleId="Quote">
    <w:name w:val="Quote"/>
    <w:basedOn w:val="Heading1"/>
    <w:link w:val="QuoteChar"/>
    <w:qFormat/>
    <w:rsid w:val="004C7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6C3"/>
    <w:pPr>
      <w:pageBreakBefore/>
    </w:pPr>
  </w:style>
  <w:style w:type="paragraph" w:customStyle="1" w:styleId="Border">
    <w:name w:val="Border"/>
    <w:basedOn w:val="Normal"/>
    <w:qFormat/>
    <w:rsid w:val="004C7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6C3"/>
    <w:rPr>
      <w:u w:val="single"/>
    </w:rPr>
  </w:style>
  <w:style w:type="character" w:customStyle="1" w:styleId="BoldandItalics">
    <w:name w:val="Bold and Italics"/>
    <w:qFormat/>
    <w:rsid w:val="004C76C3"/>
    <w:rPr>
      <w:b/>
      <w:i/>
      <w:u w:val="none"/>
    </w:rPr>
  </w:style>
  <w:style w:type="paragraph" w:styleId="BalloonText">
    <w:name w:val="Balloon Text"/>
    <w:basedOn w:val="Normal"/>
    <w:link w:val="BalloonTextChar"/>
    <w:rsid w:val="004C7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6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6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5584</Characters>
  <Application>Microsoft Office Word</Application>
  <DocSecurity>0</DocSecurity>
  <Lines>147</Lines>
  <Paragraphs>84</Paragraphs>
  <ScaleCrop>false</ScaleCrop>
  <Company>Author-it Software Corporation Ltd.</Company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RIIMPO314D Operate small open cut mine equipment</dc:title>
  <dc:subject>Approved</dc:subject>
  <dc:creator>SkillsDMC</dc:creator>
  <cp:keywords>Release: 5</cp:keywords>
  <dc:description>Review Date: 12 April 2008</dc:description>
  <cp:lastModifiedBy>TPCMS</cp:lastModifiedBy>
  <cp:revision>3</cp:revision>
  <dcterms:created xsi:type="dcterms:W3CDTF">2015-12-14T07:58:00Z</dcterms:created>
  <dcterms:modified xsi:type="dcterms:W3CDTF">2015-12-14T07:58:00Z</dcterms:modified>
</cp:coreProperties>
</file>