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8D2" w:rsidP="002E58D2">
      <w:pPr>
        <w:pStyle w:val="Title"/>
      </w:pPr>
      <w:r>
        <w:fldChar w:fldCharType="begin"/>
      </w:r>
      <w:r>
        <w:instrText xml:space="preserve"> TITLE   \* MERGEFORMAT </w:instrText>
      </w:r>
      <w:r>
        <w:fldChar w:fldCharType="separate"/>
      </w:r>
      <w:r>
        <w:t>Assessment Requirements for RIIMPO203D Support bucket wheel system operations</w:t>
      </w:r>
      <w:r>
        <w:fldChar w:fldCharType="end"/>
      </w:r>
    </w:p>
    <w:p w:rsidR="002E58D2" w:rsidP="002E58D2">
      <w:pPr>
        <w:pStyle w:val="Version"/>
        <w:sectPr w:rsidSect="00B91C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91C4D" w:rsidP="00B91C4D">
      <w:pPr>
        <w:pStyle w:val="SuperHeading"/>
      </w:pPr>
      <w:r w:rsidRPr="00B91C4D">
        <w:t>Assessment Requirements for RIIMPO203D Support bucket wheel system operations</w:t>
      </w:r>
    </w:p>
    <w:p w:rsidR="00000000" w:rsidRPr="00B91C4D" w:rsidP="00B91C4D">
      <w:pPr>
        <w:pStyle w:val="Heading1"/>
      </w:pPr>
      <w:bookmarkStart w:id="1" w:name="O_690591"/>
      <w:bookmarkEnd w:id="1"/>
      <w:r w:rsidRPr="00B91C4D">
        <w:t>Modification History</w:t>
      </w:r>
    </w:p>
    <w:tbl>
      <w:tblPr>
        <w:tblW w:w="0" w:type="auto"/>
        <w:tblCellMar>
          <w:left w:w="62" w:type="dxa"/>
          <w:right w:w="62" w:type="dxa"/>
        </w:tblCellMar>
        <w:tblLook w:val="0000"/>
      </w:tblPr>
      <w:tblGrid>
        <w:gridCol w:w="1232"/>
        <w:gridCol w:w="7964"/>
      </w:tblGrid>
      <w:tr w:rsidTr="002E58D2">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C4D">
            <w:pPr>
              <w:pStyle w:val="Heading4"/>
              <w:rPr>
                <w:lang w:val="en-NZ"/>
              </w:rPr>
            </w:pPr>
            <w:r w:rsidRPr="00B91C4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C4D">
            <w:pPr>
              <w:pStyle w:val="Heading4"/>
              <w:rPr>
                <w:lang w:val="en-NZ"/>
              </w:rPr>
            </w:pPr>
            <w:r w:rsidRPr="00B91C4D">
              <w:t>Comments</w:t>
            </w:r>
          </w:p>
        </w:tc>
      </w:tr>
      <w:tr w:rsidTr="002E58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C4D">
            <w:pPr>
              <w:pStyle w:val="BodyText"/>
              <w:rPr>
                <w:lang w:val="en-NZ"/>
              </w:rPr>
            </w:pPr>
            <w:r w:rsidRPr="00B91C4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C4D">
            <w:pPr>
              <w:pStyle w:val="BodyText"/>
              <w:rPr>
                <w:lang w:val="en-NZ"/>
              </w:rPr>
            </w:pPr>
            <w:r w:rsidRPr="00B91C4D">
              <w:t>This unit replaces RIIMPO203A Support bucket wheel system operations.</w:t>
            </w:r>
            <w:r w:rsidRPr="00B91C4D">
              <w:br/>
            </w:r>
            <w:r w:rsidRPr="00B91C4D">
              <w:t>Performance Criteria amended to make requirements more explicit; Manoeuvring, Driving and Parking Up added; Operator Maintenance element added.</w:t>
            </w:r>
          </w:p>
        </w:tc>
      </w:tr>
      <w:tr w:rsidTr="002E58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C4D">
            <w:pPr>
              <w:pStyle w:val="BodyText"/>
              <w:rPr>
                <w:lang w:val="en-NZ"/>
              </w:rPr>
            </w:pPr>
            <w:r w:rsidRPr="00B91C4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C4D">
            <w:pPr>
              <w:pStyle w:val="BodyText"/>
              <w:rPr>
                <w:lang w:val="en-NZ"/>
              </w:rPr>
            </w:pPr>
            <w:r w:rsidRPr="00B91C4D">
              <w:t>Modification History added.</w:t>
            </w:r>
          </w:p>
        </w:tc>
      </w:tr>
      <w:tr w:rsidTr="002E58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C4D">
            <w:pPr>
              <w:pStyle w:val="BodyText"/>
              <w:rPr>
                <w:lang w:val="en-NZ"/>
              </w:rPr>
            </w:pPr>
            <w:r w:rsidRPr="00B91C4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C4D">
            <w:pPr>
              <w:pStyle w:val="BodyText"/>
              <w:rPr>
                <w:lang w:val="en-NZ"/>
              </w:rPr>
            </w:pPr>
            <w:r w:rsidRPr="00B91C4D">
              <w:t>Editorial corrections; amend reference to Licensing requirements in Unit Appli</w:t>
            </w:r>
            <w:r w:rsidRPr="00B91C4D">
              <w:t>cation.</w:t>
            </w:r>
          </w:p>
        </w:tc>
      </w:tr>
      <w:tr w:rsidTr="002E58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C4D">
            <w:pPr>
              <w:pStyle w:val="BodyText"/>
              <w:rPr>
                <w:lang w:val="en-NZ"/>
              </w:rPr>
            </w:pPr>
            <w:r w:rsidRPr="00B91C4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C4D" w:rsidP="00B91C4D">
            <w:pPr>
              <w:pStyle w:val="BodyText"/>
            </w:pPr>
            <w:r w:rsidRPr="00B91C4D">
              <w:t>Required frequency and volume of evidence amended in Performance evidence.</w:t>
            </w:r>
            <w:r w:rsidRPr="00B91C4D">
              <w:br/>
              <w:t xml:space="preserve">Substantial amendments made in Assessment Conditions field, </w:t>
            </w:r>
            <w:r w:rsidRPr="00B91C4D">
              <w:t>including: references to Industry Sectors, assessor and subject matter expert experience requirements, how assessment should be conducted and what it should confirm.</w:t>
            </w:r>
          </w:p>
        </w:tc>
      </w:tr>
    </w:tbl>
    <w:p w:rsidR="00000000" w:rsidRPr="00B91C4D" w:rsidP="00B91C4D">
      <w:pPr>
        <w:pStyle w:val="BodyText"/>
      </w:pPr>
    </w:p>
    <w:p w:rsidR="00000000" w:rsidRPr="00B91C4D" w:rsidP="00B91C4D">
      <w:pPr>
        <w:pStyle w:val="AllowPageBreak"/>
      </w:pPr>
    </w:p>
    <w:p w:rsidR="00000000" w:rsidRPr="00B91C4D" w:rsidP="00B91C4D">
      <w:pPr>
        <w:pStyle w:val="Heading1"/>
      </w:pPr>
      <w:bookmarkStart w:id="2" w:name="O_690590"/>
      <w:bookmarkEnd w:id="2"/>
      <w:r w:rsidRPr="00B91C4D">
        <w:t>Performance Evidence</w:t>
      </w:r>
    </w:p>
    <w:p w:rsidR="00000000" w:rsidRPr="00B91C4D" w:rsidP="00B91C4D">
      <w:pPr>
        <w:pStyle w:val="BodyText"/>
      </w:pPr>
      <w:r w:rsidRPr="00B91C4D">
        <w:t>Evidence is required to be collected that demonstr</w:t>
      </w:r>
      <w:r w:rsidRPr="00B91C4D">
        <w:t>ates a candidate’s competency in this unit. Evidence must be relevant to the roles within this sector’s work operations and satisfy all of the requirements of the performance criteria of this unit and include evidence that the candidate:</w:t>
      </w:r>
    </w:p>
    <w:p w:rsidR="00000000" w:rsidRPr="00B91C4D" w:rsidP="00B91C4D">
      <w:pPr>
        <w:pStyle w:val="ListBullet"/>
      </w:pPr>
      <w:r w:rsidRPr="00B91C4D">
        <w:t>locates and appli</w:t>
      </w:r>
      <w:r w:rsidRPr="00B91C4D">
        <w:t>es relevant documentation, policies and procedures</w:t>
      </w:r>
    </w:p>
    <w:p w:rsidR="00000000" w:rsidRPr="00B91C4D" w:rsidP="00B91C4D">
      <w:pPr>
        <w:pStyle w:val="ListBullet"/>
      </w:pPr>
      <w:r w:rsidRPr="00B91C4D">
        <w:t>implements the requirements, procedures and techniques for the safe, effective and efficient support of bucket-wheel system operations including:</w:t>
      </w:r>
    </w:p>
    <w:p w:rsidR="00000000" w:rsidRPr="00B91C4D" w:rsidP="00B91C4D">
      <w:pPr>
        <w:pStyle w:val="ListBullet2"/>
      </w:pPr>
      <w:r w:rsidRPr="00B91C4D">
        <w:t xml:space="preserve">conducting prestart checks prior to commencing operations </w:t>
      </w:r>
      <w:r w:rsidRPr="00B91C4D">
        <w:t>and shutdown procedures on completion of operations</w:t>
      </w:r>
    </w:p>
    <w:p w:rsidR="00000000" w:rsidRPr="00B91C4D" w:rsidP="00B91C4D">
      <w:pPr>
        <w:pStyle w:val="ListBullet2"/>
      </w:pPr>
      <w:r w:rsidRPr="00B91C4D">
        <w:t>carrying out vehicle refuelling requirements and procedures</w:t>
      </w:r>
    </w:p>
    <w:p w:rsidR="00000000" w:rsidRPr="00B91C4D" w:rsidP="00B91C4D">
      <w:pPr>
        <w:pStyle w:val="ListBullet2"/>
      </w:pPr>
      <w:r w:rsidRPr="00B91C4D">
        <w:t>applying working at heights procedures</w:t>
      </w:r>
    </w:p>
    <w:p w:rsidR="00000000" w:rsidRPr="00B91C4D" w:rsidP="00B91C4D">
      <w:pPr>
        <w:pStyle w:val="ListBullet2"/>
      </w:pPr>
      <w:r w:rsidRPr="00B91C4D">
        <w:t>applying chemical and fuel safety measures</w:t>
      </w:r>
    </w:p>
    <w:p w:rsidR="00000000" w:rsidRPr="00B91C4D" w:rsidP="00B91C4D">
      <w:pPr>
        <w:pStyle w:val="ListBullet2"/>
      </w:pPr>
      <w:r w:rsidRPr="00B91C4D">
        <w:t>using relevant tools</w:t>
      </w:r>
    </w:p>
    <w:p w:rsidR="00000000" w:rsidRPr="00B91C4D" w:rsidP="00B91C4D">
      <w:pPr>
        <w:pStyle w:val="ListBullet2"/>
      </w:pPr>
      <w:r w:rsidRPr="00B91C4D">
        <w:t>drivi</w:t>
      </w:r>
      <w:r w:rsidRPr="00B91C4D">
        <w:t>ng and operating the vehicles and equipment to site conditions and requirements</w:t>
      </w:r>
    </w:p>
    <w:p w:rsidR="00000000" w:rsidRPr="00B91C4D" w:rsidP="00B91C4D">
      <w:pPr>
        <w:pStyle w:val="ListBullet2"/>
      </w:pPr>
      <w:r w:rsidRPr="00B91C4D">
        <w:t>applying safe work practices and identifying and reporting all potential hazards, risks and environmental issues</w:t>
      </w:r>
    </w:p>
    <w:p w:rsidR="00000000" w:rsidRPr="00B91C4D" w:rsidP="00B91C4D">
      <w:pPr>
        <w:pStyle w:val="ListBullet2"/>
      </w:pPr>
      <w:r w:rsidRPr="00B91C4D">
        <w:t>applying problem solving and troubleshooting techniques</w:t>
      </w:r>
    </w:p>
    <w:p w:rsidR="00000000" w:rsidRPr="00B91C4D" w:rsidP="00B91C4D">
      <w:pPr>
        <w:pStyle w:val="ListBullet"/>
      </w:pPr>
      <w:r w:rsidRPr="00B91C4D">
        <w:t xml:space="preserve">works </w:t>
      </w:r>
      <w:r w:rsidRPr="00B91C4D">
        <w:t>effectively with others to undertake and support bucket-wheel system operations that meet all of the required outcomes including:</w:t>
      </w:r>
    </w:p>
    <w:p w:rsidR="00000000" w:rsidRPr="00B91C4D" w:rsidP="00B91C4D">
      <w:pPr>
        <w:pStyle w:val="ListBullet2"/>
      </w:pPr>
      <w:r w:rsidRPr="00B91C4D">
        <w:t>using a range of communications techniques and equipment to convey information to others</w:t>
      </w:r>
    </w:p>
    <w:p w:rsidR="00000000" w:rsidRPr="00B91C4D" w:rsidP="00B91C4D">
      <w:pPr>
        <w:pStyle w:val="ListBullet2"/>
      </w:pPr>
      <w:r w:rsidRPr="00B91C4D">
        <w:t>complying with written and verbal re</w:t>
      </w:r>
      <w:r w:rsidRPr="00B91C4D">
        <w:t xml:space="preserve">porting requirements and procedures </w:t>
      </w:r>
    </w:p>
    <w:p w:rsidR="00000000" w:rsidRPr="00B91C4D" w:rsidP="00B91C4D">
      <w:pPr>
        <w:pStyle w:val="ListBullet"/>
      </w:pPr>
      <w:r w:rsidRPr="00B91C4D">
        <w:t>demonstrates completion of supporting bucket wheel system operations that safely, effectively and efficiently meets all of the required outcomes on more than one (1) occasion including:</w:t>
      </w:r>
    </w:p>
    <w:p w:rsidR="00000000" w:rsidRPr="00B91C4D" w:rsidP="00B91C4D">
      <w:pPr>
        <w:pStyle w:val="ListBullet2"/>
      </w:pPr>
      <w:r w:rsidRPr="00B91C4D">
        <w:t>operate hopper and conveyor sys</w:t>
      </w:r>
      <w:r w:rsidRPr="00B91C4D">
        <w:t>tems ensuring continuous movement of materials without stopping</w:t>
      </w:r>
    </w:p>
    <w:p w:rsidR="00000000" w:rsidRPr="00B91C4D" w:rsidP="00B91C4D">
      <w:pPr>
        <w:pStyle w:val="ListBullet2"/>
      </w:pPr>
      <w:r w:rsidRPr="00B91C4D">
        <w:t>monitoring bucket wheel activity and machine power</w:t>
      </w:r>
    </w:p>
    <w:p w:rsidR="00000000" w:rsidRPr="00B91C4D" w:rsidP="00B91C4D">
      <w:pPr>
        <w:pStyle w:val="ListBullet2"/>
      </w:pPr>
      <w:r w:rsidRPr="00B91C4D">
        <w:t xml:space="preserve">carry out pre-start checks, start-up, park-up and shut-down procedures </w:t>
      </w:r>
    </w:p>
    <w:p w:rsidR="00000000" w:rsidRPr="00B91C4D" w:rsidP="00B91C4D">
      <w:pPr>
        <w:pStyle w:val="ListBullet2"/>
      </w:pPr>
      <w:r w:rsidRPr="00B91C4D">
        <w:t xml:space="preserve">process written records and reports </w:t>
      </w:r>
    </w:p>
    <w:p w:rsidR="00000000" w:rsidRPr="00B91C4D" w:rsidP="00B91C4D">
      <w:pPr>
        <w:pStyle w:val="ListBullet2"/>
      </w:pPr>
      <w:r w:rsidRPr="00B91C4D">
        <w:t xml:space="preserve">prepare machine for maintenance </w:t>
      </w:r>
    </w:p>
    <w:p w:rsidR="00000000" w:rsidRPr="00B91C4D" w:rsidP="00B91C4D">
      <w:pPr>
        <w:pStyle w:val="ListBullet2"/>
      </w:pPr>
      <w:r w:rsidRPr="00B91C4D">
        <w:t>identify and respond to alarms and signals</w:t>
      </w:r>
    </w:p>
    <w:p w:rsidR="00000000" w:rsidRPr="00B91C4D" w:rsidP="00B91C4D">
      <w:pPr>
        <w:pStyle w:val="AllowPageBreak"/>
      </w:pPr>
    </w:p>
    <w:p w:rsidR="00000000" w:rsidRPr="00B91C4D" w:rsidP="00B91C4D">
      <w:pPr>
        <w:pStyle w:val="Heading1"/>
      </w:pPr>
      <w:bookmarkStart w:id="3" w:name="O_690589"/>
      <w:bookmarkEnd w:id="3"/>
      <w:r w:rsidRPr="00B91C4D">
        <w:t>Knowledge Evidence</w:t>
      </w:r>
    </w:p>
    <w:p w:rsidR="00000000" w:rsidRPr="00B91C4D" w:rsidP="00B91C4D">
      <w:pPr>
        <w:pStyle w:val="BodyText"/>
      </w:pPr>
      <w:r w:rsidRPr="00B91C4D">
        <w:t>The candidate must demonstrate knowledge of the following when supporting bucket wheel system operations:</w:t>
      </w:r>
    </w:p>
    <w:p w:rsidR="00000000" w:rsidRPr="00B91C4D" w:rsidP="00B91C4D">
      <w:pPr>
        <w:pStyle w:val="ListBullet2"/>
      </w:pPr>
      <w:r w:rsidRPr="00B91C4D">
        <w:t>identifying equipment processes, technical capability and limitations</w:t>
      </w:r>
    </w:p>
    <w:p w:rsidR="00000000" w:rsidRPr="00B91C4D" w:rsidP="00B91C4D">
      <w:pPr>
        <w:pStyle w:val="ListBullet2"/>
      </w:pPr>
      <w:r w:rsidRPr="00B91C4D">
        <w:t>identifying, interpreting and using geological and technical data (basic)</w:t>
      </w:r>
    </w:p>
    <w:p w:rsidR="00000000" w:rsidRPr="00B91C4D" w:rsidP="00B91C4D">
      <w:pPr>
        <w:pStyle w:val="ListBullet2"/>
      </w:pPr>
      <w:r w:rsidRPr="00B91C4D">
        <w:t>identifying and complying with hazardous goods procedures (handling and transport)</w:t>
      </w:r>
    </w:p>
    <w:p w:rsidR="00000000" w:rsidRPr="00B91C4D" w:rsidP="00B91C4D">
      <w:pPr>
        <w:pStyle w:val="ListBullet2"/>
      </w:pPr>
      <w:r w:rsidRPr="00B91C4D">
        <w:t>communicating and performing isolation procedures</w:t>
      </w:r>
    </w:p>
    <w:p w:rsidR="00000000" w:rsidRPr="00B91C4D" w:rsidP="00B91C4D">
      <w:pPr>
        <w:pStyle w:val="ListBullet2"/>
      </w:pPr>
      <w:r w:rsidRPr="00B91C4D">
        <w:t>using mine operational systems</w:t>
      </w:r>
    </w:p>
    <w:p w:rsidR="00000000" w:rsidRPr="00B91C4D" w:rsidP="00B91C4D">
      <w:pPr>
        <w:pStyle w:val="ListBullet2"/>
      </w:pPr>
      <w:r w:rsidRPr="00B91C4D">
        <w:t>being prepared fo</w:t>
      </w:r>
      <w:r w:rsidRPr="00B91C4D">
        <w:t>r fire/accident/emergency</w:t>
      </w:r>
    </w:p>
    <w:p w:rsidR="00000000" w:rsidRPr="00B91C4D" w:rsidP="00B91C4D">
      <w:pPr>
        <w:pStyle w:val="ListBullet2"/>
      </w:pPr>
      <w:r w:rsidRPr="00B91C4D">
        <w:t>identifying signs of operator fatigue and how it should be managed</w:t>
      </w:r>
    </w:p>
    <w:p w:rsidR="00000000" w:rsidRPr="00B91C4D" w:rsidP="00B91C4D">
      <w:pPr>
        <w:pStyle w:val="ListBullet2"/>
      </w:pPr>
      <w:r w:rsidRPr="00B91C4D">
        <w:t>applying operational, maintenance and basic diagnostics</w:t>
      </w:r>
    </w:p>
    <w:p w:rsidR="00000000" w:rsidRPr="00B91C4D" w:rsidP="00B91C4D">
      <w:pPr>
        <w:pStyle w:val="ListBullet2"/>
      </w:pPr>
      <w:r w:rsidRPr="00B91C4D">
        <w:t>completing housekeeping activities</w:t>
      </w:r>
    </w:p>
    <w:p w:rsidR="00000000" w:rsidRPr="00B91C4D" w:rsidP="00B91C4D">
      <w:pPr>
        <w:pStyle w:val="AllowPageBreak"/>
      </w:pPr>
    </w:p>
    <w:p w:rsidR="00000000" w:rsidRPr="00B91C4D" w:rsidP="00B91C4D">
      <w:pPr>
        <w:pStyle w:val="Heading1"/>
      </w:pPr>
      <w:bookmarkStart w:id="4" w:name="O_690588"/>
      <w:bookmarkEnd w:id="4"/>
      <w:r w:rsidRPr="00B91C4D">
        <w:t>Assessment Conditions</w:t>
      </w:r>
    </w:p>
    <w:p w:rsidR="00000000" w:rsidRPr="00B91C4D" w:rsidP="00B91C4D">
      <w:pPr>
        <w:pStyle w:val="ListBullet"/>
      </w:pPr>
      <w:r w:rsidRPr="00B91C4D">
        <w:t>An assessor of this unit must sa</w:t>
      </w:r>
      <w:r w:rsidRPr="00B91C4D">
        <w:t xml:space="preserve">tisfy the requirements of the NVR/AQTF or their successors; and Industry regulations for certification and licensing; and, </w:t>
      </w:r>
    </w:p>
    <w:p w:rsidR="00000000" w:rsidRPr="00B91C4D" w:rsidP="00B91C4D">
      <w:pPr>
        <w:pStyle w:val="ListBullet"/>
      </w:pPr>
      <w:r w:rsidRPr="00B91C4D">
        <w:t>this unit must be assessed in the context of this sector’s work environment; and,</w:t>
      </w:r>
    </w:p>
    <w:p w:rsidR="00000000" w:rsidRPr="00B91C4D" w:rsidP="00B91C4D">
      <w:pPr>
        <w:pStyle w:val="ListBullet"/>
      </w:pPr>
      <w:r w:rsidRPr="00B91C4D">
        <w:t>this unit must be assessed in compliance with relevant legislation/regulation and using policies, procedures, processes and operational manuals directly related to the industry sector for which it is being assessed; and,</w:t>
      </w:r>
    </w:p>
    <w:p w:rsidR="00000000" w:rsidRPr="00B91C4D" w:rsidP="00B91C4D">
      <w:pPr>
        <w:pStyle w:val="ListBullet"/>
      </w:pPr>
      <w:r w:rsidRPr="00B91C4D">
        <w:t>assessment may be conducted in conj</w:t>
      </w:r>
      <w:r w:rsidRPr="00B91C4D">
        <w:t>unction with the assessment of other Units of Competency; and,</w:t>
      </w:r>
    </w:p>
    <w:p w:rsidR="00000000" w:rsidRPr="00B91C4D" w:rsidP="00B91C4D">
      <w:pPr>
        <w:pStyle w:val="ListBullet"/>
      </w:pPr>
      <w:r w:rsidRPr="00B91C4D">
        <w:t>assessment must confirm consistent performance can be applied in a range of relevant workplace circumstances; and,</w:t>
      </w:r>
    </w:p>
    <w:p w:rsidR="00000000" w:rsidRPr="00B91C4D" w:rsidP="00B91C4D">
      <w:pPr>
        <w:pStyle w:val="ListBullet"/>
      </w:pPr>
      <w:r w:rsidRPr="00B91C4D">
        <w:t>assessors must demonstrate the performance evidence, and knowledge evidence as</w:t>
      </w:r>
      <w:r w:rsidRPr="00B91C4D">
        <w:t xml:space="preserve"> outlined in this Unit of Competency, and through the minimum years of current* work experience specified below in an Industry sector relevant to the outcomes of the unit; or,</w:t>
      </w:r>
    </w:p>
    <w:p w:rsidR="00000000" w:rsidRPr="00B91C4D" w:rsidP="00B91C4D">
      <w:pPr>
        <w:pStyle w:val="ListBullet"/>
      </w:pPr>
      <w:r w:rsidRPr="00B91C4D">
        <w:t>where the assessor does not meet experience requirements a co-assessment or part</w:t>
      </w:r>
      <w:r w:rsidRPr="00B91C4D">
        <w:t>nership arrangement must exist between the qualified assessor and an Industry subject matter expert. The Industry subject matter expert should hold the unit being assessed (or an equivalent unit) and/or demonstrate equivalence of skills and knowledge at th</w:t>
      </w:r>
      <w:r w:rsidRPr="00B91C4D">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91C4D" w:rsidP="00B91C4D">
      <w:pPr>
        <w:pStyle w:val="ListBullet"/>
      </w:pPr>
      <w:r w:rsidRPr="00B91C4D">
        <w:t xml:space="preserve">assessor </w:t>
      </w:r>
      <w:r w:rsidRPr="00B91C4D">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91C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C4D">
            <w:pPr>
              <w:pStyle w:val="Heading4"/>
              <w:rPr>
                <w:lang w:val="en-NZ"/>
              </w:rPr>
            </w:pPr>
            <w:r w:rsidRPr="00B91C4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C4D">
            <w:pPr>
              <w:pStyle w:val="Heading4"/>
              <w:rPr>
                <w:lang w:val="en-NZ"/>
              </w:rPr>
            </w:pPr>
            <w:r w:rsidRPr="00B91C4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C4D">
            <w:pPr>
              <w:pStyle w:val="Heading4"/>
              <w:rPr>
                <w:lang w:val="en-NZ"/>
              </w:rPr>
            </w:pPr>
            <w:r w:rsidRPr="00B91C4D">
              <w:t>Required assessor or Industry subject</w:t>
            </w:r>
            <w:r w:rsidRPr="00B91C4D">
              <w:t xml:space="preserve"> matter expert experience</w:t>
            </w:r>
          </w:p>
        </w:tc>
      </w:tr>
      <w:tr w:rsidTr="00B91C4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C4D">
            <w:pPr>
              <w:pStyle w:val="BodyText"/>
              <w:rPr>
                <w:lang w:val="en-NZ"/>
              </w:rPr>
            </w:pPr>
            <w:r w:rsidRPr="00B91C4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C4D">
            <w:pPr>
              <w:pStyle w:val="BodyText"/>
              <w:rPr>
                <w:lang w:val="en-NZ"/>
              </w:rPr>
            </w:pPr>
            <w:r w:rsidRPr="00B91C4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C4D">
            <w:pPr>
              <w:pStyle w:val="BodyText"/>
              <w:rPr>
                <w:lang w:val="en-NZ"/>
              </w:rPr>
            </w:pPr>
            <w:r w:rsidRPr="00B91C4D">
              <w:t>1 Year</w:t>
            </w:r>
          </w:p>
        </w:tc>
      </w:tr>
      <w:tr w:rsidTr="00B91C4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C4D">
            <w:pPr>
              <w:pStyle w:val="BodyText"/>
              <w:rPr>
                <w:lang w:val="en-NZ"/>
              </w:rPr>
            </w:pPr>
            <w:r w:rsidRPr="00B91C4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C4D">
            <w:pPr>
              <w:pStyle w:val="BodyText"/>
              <w:rPr>
                <w:lang w:val="en-NZ"/>
              </w:rPr>
            </w:pPr>
            <w:r w:rsidRPr="00B91C4D">
              <w:t>2 Years</w:t>
            </w:r>
          </w:p>
        </w:tc>
      </w:tr>
      <w:tr w:rsidTr="00B91C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C4D">
            <w:pPr>
              <w:pStyle w:val="BodyText"/>
              <w:rPr>
                <w:lang w:val="en-NZ"/>
              </w:rPr>
            </w:pPr>
            <w:r w:rsidRPr="00B91C4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C4D">
            <w:pPr>
              <w:pStyle w:val="BodyText"/>
              <w:rPr>
                <w:lang w:val="en-NZ"/>
              </w:rPr>
            </w:pPr>
            <w:r w:rsidRPr="00B91C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C4D">
            <w:pPr>
              <w:pStyle w:val="BodyText"/>
              <w:rPr>
                <w:lang w:val="en-NZ"/>
              </w:rPr>
            </w:pPr>
            <w:r w:rsidRPr="00B91C4D">
              <w:t>3 Years</w:t>
            </w:r>
          </w:p>
        </w:tc>
      </w:tr>
      <w:tr w:rsidTr="00B91C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C4D">
            <w:pPr>
              <w:pStyle w:val="BodyText"/>
              <w:rPr>
                <w:lang w:val="en-NZ"/>
              </w:rPr>
            </w:pPr>
            <w:r w:rsidRPr="00B91C4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C4D">
            <w:pPr>
              <w:pStyle w:val="BodyText"/>
              <w:rPr>
                <w:lang w:val="en-NZ"/>
              </w:rPr>
            </w:pPr>
            <w:r w:rsidRPr="00B91C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C4D">
            <w:pPr>
              <w:pStyle w:val="BodyText"/>
              <w:rPr>
                <w:lang w:val="en-NZ"/>
              </w:rPr>
            </w:pPr>
            <w:r w:rsidRPr="00B91C4D">
              <w:t>5 Years</w:t>
            </w:r>
          </w:p>
        </w:tc>
      </w:tr>
      <w:tr w:rsidTr="00B91C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C4D">
            <w:pPr>
              <w:pStyle w:val="BodyText"/>
              <w:rPr>
                <w:lang w:val="en-NZ"/>
              </w:rPr>
            </w:pPr>
            <w:r w:rsidRPr="00B91C4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1C4D" w:rsidP="00B91C4D">
            <w:pPr>
              <w:pStyle w:val="BodyText"/>
            </w:pPr>
            <w:r w:rsidRPr="00B91C4D">
              <w:t>Where this Unit is being assessed outside of the Resources and Infrastructure Sectors assessor and/or Industry subject matter expert experience should be in-line with industry standards for the sector in which it is being assessed an</w:t>
            </w:r>
            <w:r w:rsidRPr="00B91C4D">
              <w:t>d where no Industry standard is specified should comply with any relevant regulation.</w:t>
            </w:r>
          </w:p>
        </w:tc>
      </w:tr>
    </w:tbl>
    <w:p w:rsidR="00000000" w:rsidRPr="00B91C4D" w:rsidP="00B91C4D">
      <w:pPr>
        <w:pStyle w:val="BodyText"/>
      </w:pPr>
      <w:r w:rsidRPr="00B91C4D">
        <w:t>*Assessors can demonstrate current work experience through employment within Industry in a role relevant to the outcomes of the Unit; or, for external assessors this ca</w:t>
      </w:r>
      <w:r w:rsidRPr="00B91C4D">
        <w:t>n be demonstrated through exposure to Industry by conducting frequent site assessments across various locations.</w:t>
      </w:r>
    </w:p>
    <w:p w:rsidR="00000000" w:rsidRPr="00B91C4D" w:rsidP="00B91C4D">
      <w:pPr>
        <w:pStyle w:val="BodyText"/>
      </w:pPr>
      <w:r w:rsidRPr="00B91C4D">
        <w:t xml:space="preserve">**Where a unit is being delivered outside of a Qualification the first numeric character in the Unit code should be considered to indicate the </w:t>
      </w:r>
      <w:r w:rsidRPr="00B91C4D">
        <w:t>AQF level</w:t>
      </w:r>
    </w:p>
    <w:p w:rsidR="00000000" w:rsidRPr="00B91C4D" w:rsidP="00B91C4D">
      <w:pPr>
        <w:pStyle w:val="AllowPageBreak"/>
      </w:pPr>
    </w:p>
    <w:p w:rsidR="00000000" w:rsidRPr="00B91C4D" w:rsidP="00B91C4D">
      <w:pPr>
        <w:pStyle w:val="Heading1"/>
      </w:pPr>
      <w:bookmarkStart w:id="5" w:name="O_690600"/>
      <w:bookmarkEnd w:id="5"/>
      <w:r w:rsidRPr="00B91C4D">
        <w:t>Links</w:t>
      </w:r>
    </w:p>
    <w:p w:rsidR="00000000" w:rsidRPr="00B91C4D" w:rsidP="00B91C4D">
      <w:pPr>
        <w:pStyle w:val="BodyText"/>
      </w:pPr>
      <w:r w:rsidRPr="00B91C4D">
        <w:t>SkillsDMC RII Companion Volumes - http://www.skillsdmc.com.au/</w:t>
      </w:r>
    </w:p>
    <w:p w:rsidR="00000000" w:rsidRPr="00B91C4D" w:rsidP="00B91C4D"/>
    <w:sectPr w:rsidSect="00B91C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C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C4D" w:rsidRPr="002E58D2" w:rsidP="002E5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C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D2" w:rsidP="00B91C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E58D2" w:rsidP="00B91C4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2E58D2" w:rsidP="00B91C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C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C4D" w:rsidRPr="002E58D2" w:rsidP="002E58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C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D2" w:rsidRPr="002D2AF8" w:rsidP="00B91C4D">
    <w:pPr>
      <w:pStyle w:val="Header"/>
      <w:framePr w:wrap="around"/>
    </w:pPr>
    <w:r>
      <w:fldChar w:fldCharType="begin"/>
    </w:r>
    <w:r>
      <w:instrText xml:space="preserve"> TITLE   \* MERGEFORMAT </w:instrText>
    </w:r>
    <w:r>
      <w:fldChar w:fldCharType="separate"/>
    </w:r>
    <w:r>
      <w:t>Assessment Requirements for RIIMPO203D Support bucket wheel system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2E58D2" w:rsidP="00B91C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A6CC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766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F86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C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C4D"/>
    <w:pPr>
      <w:spacing w:before="360" w:after="60"/>
      <w:outlineLvl w:val="0"/>
    </w:pPr>
    <w:rPr>
      <w:sz w:val="32"/>
    </w:rPr>
  </w:style>
  <w:style w:type="paragraph" w:styleId="Heading2">
    <w:name w:val="heading 2"/>
    <w:basedOn w:val="HeadingBase"/>
    <w:next w:val="BodyText"/>
    <w:link w:val="Heading2Char"/>
    <w:qFormat/>
    <w:rsid w:val="00B91C4D"/>
    <w:pPr>
      <w:keepLines/>
      <w:spacing w:before="240" w:after="120"/>
      <w:outlineLvl w:val="1"/>
    </w:pPr>
    <w:rPr>
      <w:sz w:val="28"/>
      <w:szCs w:val="40"/>
    </w:rPr>
  </w:style>
  <w:style w:type="paragraph" w:styleId="Heading3">
    <w:name w:val="heading 3"/>
    <w:basedOn w:val="HeadingBase"/>
    <w:next w:val="BodyText"/>
    <w:link w:val="Heading3Char"/>
    <w:qFormat/>
    <w:rsid w:val="00B91C4D"/>
    <w:pPr>
      <w:spacing w:before="180" w:after="120"/>
      <w:outlineLvl w:val="2"/>
    </w:pPr>
    <w:rPr>
      <w:spacing w:val="-10"/>
      <w:kern w:val="32"/>
    </w:rPr>
  </w:style>
  <w:style w:type="paragraph" w:styleId="Heading4">
    <w:name w:val="heading 4"/>
    <w:basedOn w:val="HeadingBase"/>
    <w:next w:val="BodyText"/>
    <w:link w:val="Heading4Char"/>
    <w:qFormat/>
    <w:rsid w:val="00B91C4D"/>
    <w:pPr>
      <w:spacing w:before="160" w:after="120"/>
      <w:outlineLvl w:val="3"/>
    </w:pPr>
    <w:rPr>
      <w:sz w:val="22"/>
    </w:rPr>
  </w:style>
  <w:style w:type="paragraph" w:styleId="Heading5">
    <w:name w:val="heading 5"/>
    <w:basedOn w:val="HeadingBase"/>
    <w:next w:val="Normal"/>
    <w:link w:val="Heading5Char"/>
    <w:qFormat/>
    <w:rsid w:val="00B91C4D"/>
    <w:pPr>
      <w:spacing w:before="80"/>
      <w:outlineLvl w:val="4"/>
    </w:pPr>
    <w:rPr>
      <w:color w:val="918585"/>
      <w:sz w:val="20"/>
    </w:rPr>
  </w:style>
  <w:style w:type="paragraph" w:styleId="Heading6">
    <w:name w:val="heading 6"/>
    <w:basedOn w:val="HeadingBase"/>
    <w:next w:val="Normal"/>
    <w:link w:val="Heading6Char"/>
    <w:qFormat/>
    <w:rsid w:val="00B91C4D"/>
    <w:pPr>
      <w:spacing w:before="60"/>
      <w:outlineLvl w:val="5"/>
    </w:pPr>
    <w:rPr>
      <w:color w:val="918585"/>
      <w:sz w:val="20"/>
    </w:rPr>
  </w:style>
  <w:style w:type="paragraph" w:styleId="Heading7">
    <w:name w:val="heading 7"/>
    <w:basedOn w:val="Normal"/>
    <w:next w:val="Normal"/>
    <w:link w:val="Heading7Char"/>
    <w:qFormat/>
    <w:rsid w:val="00B91C4D"/>
    <w:pPr>
      <w:ind w:left="720"/>
      <w:outlineLvl w:val="6"/>
    </w:pPr>
    <w:rPr>
      <w:i/>
    </w:rPr>
  </w:style>
  <w:style w:type="paragraph" w:styleId="Heading8">
    <w:name w:val="heading 8"/>
    <w:basedOn w:val="Normal"/>
    <w:next w:val="Normal"/>
    <w:link w:val="Heading8Char"/>
    <w:qFormat/>
    <w:rsid w:val="00B91C4D"/>
    <w:pPr>
      <w:ind w:left="720"/>
      <w:outlineLvl w:val="7"/>
    </w:pPr>
    <w:rPr>
      <w:i/>
    </w:rPr>
  </w:style>
  <w:style w:type="paragraph" w:styleId="Heading9">
    <w:name w:val="heading 9"/>
    <w:basedOn w:val="Normal"/>
    <w:next w:val="Normal"/>
    <w:link w:val="Heading9Char"/>
    <w:qFormat/>
    <w:rsid w:val="00B91C4D"/>
    <w:pPr>
      <w:ind w:left="720"/>
      <w:outlineLvl w:val="8"/>
    </w:pPr>
    <w:rPr>
      <w:i/>
    </w:rPr>
  </w:style>
  <w:style w:type="character" w:default="1" w:styleId="DefaultParagraphFont">
    <w:name w:val="Default Paragraph Font"/>
    <w:uiPriority w:val="1"/>
    <w:unhideWhenUsed/>
    <w:rsid w:val="00B91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C4D"/>
  </w:style>
  <w:style w:type="character" w:customStyle="1" w:styleId="Heading1Char">
    <w:name w:val="Heading 1 Char"/>
    <w:basedOn w:val="DefaultParagraphFont"/>
    <w:link w:val="Heading1"/>
    <w:rsid w:val="00B91C4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91C4D"/>
    <w:rPr>
      <w:rFonts w:ascii="Times New Roman" w:eastAsia="Times New Roman" w:hAnsi="Times New Roman" w:cs="Times New Roman"/>
      <w:b/>
      <w:szCs w:val="20"/>
      <w:lang w:eastAsia="en-US"/>
    </w:rPr>
  </w:style>
  <w:style w:type="paragraph" w:styleId="BodyText">
    <w:name w:val="Body Text"/>
    <w:basedOn w:val="Normal"/>
    <w:link w:val="BodyTextChar"/>
    <w:rsid w:val="00B91C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1C4D"/>
    <w:rPr>
      <w:rFonts w:ascii="Times New Roman" w:eastAsia="Times New Roman" w:hAnsi="Times New Roman" w:cs="Times New Roman"/>
      <w:sz w:val="24"/>
      <w:lang w:eastAsia="en-US"/>
    </w:rPr>
  </w:style>
  <w:style w:type="paragraph" w:styleId="ListBullet">
    <w:name w:val="List Bullet"/>
    <w:basedOn w:val="List"/>
    <w:rsid w:val="00B91C4D"/>
    <w:pPr>
      <w:numPr>
        <w:numId w:val="13"/>
      </w:numPr>
      <w:tabs>
        <w:tab w:val="clear" w:pos="340"/>
      </w:tabs>
      <w:spacing w:before="40" w:after="40"/>
    </w:pPr>
  </w:style>
  <w:style w:type="paragraph" w:styleId="ListBullet2">
    <w:name w:val="List Bullet 2"/>
    <w:basedOn w:val="List2"/>
    <w:rsid w:val="00B91C4D"/>
    <w:pPr>
      <w:numPr>
        <w:numId w:val="14"/>
      </w:numPr>
      <w:tabs>
        <w:tab w:val="clear" w:pos="680"/>
      </w:tabs>
    </w:pPr>
  </w:style>
  <w:style w:type="paragraph" w:customStyle="1" w:styleId="SuperHeading">
    <w:name w:val="SuperHeading"/>
    <w:basedOn w:val="Normal"/>
    <w:rsid w:val="00B91C4D"/>
    <w:pPr>
      <w:spacing w:before="240" w:after="120"/>
      <w:outlineLvl w:val="0"/>
    </w:pPr>
    <w:rPr>
      <w:rFonts w:ascii="Times New Roman" w:hAnsi="Times New Roman"/>
      <w:b/>
      <w:sz w:val="32"/>
    </w:rPr>
  </w:style>
  <w:style w:type="paragraph" w:customStyle="1" w:styleId="AllowPageBreak">
    <w:name w:val="AllowPageBreak"/>
    <w:rsid w:val="00B91C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1C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C4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91C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C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C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C4D"/>
    <w:rPr>
      <w:rFonts w:ascii="Courier New" w:eastAsia="Times New Roman" w:hAnsi="Courier New" w:cs="Times New Roman"/>
      <w:i/>
      <w:szCs w:val="20"/>
      <w:lang w:eastAsia="en-US"/>
    </w:rPr>
  </w:style>
  <w:style w:type="paragraph" w:customStyle="1" w:styleId="HeadingBase">
    <w:name w:val="Heading Base"/>
    <w:rsid w:val="00B91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C4D"/>
    <w:pPr>
      <w:tabs>
        <w:tab w:val="right" w:leader="dot" w:pos="9072"/>
      </w:tabs>
      <w:ind w:left="567"/>
    </w:pPr>
    <w:rPr>
      <w:szCs w:val="22"/>
    </w:rPr>
  </w:style>
  <w:style w:type="paragraph" w:customStyle="1" w:styleId="TOCBase">
    <w:name w:val="TOC Base"/>
    <w:rsid w:val="00B91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C4D"/>
    <w:pPr>
      <w:tabs>
        <w:tab w:val="right" w:leader="dot" w:pos="9072"/>
      </w:tabs>
      <w:spacing w:before="40" w:after="40"/>
      <w:ind w:left="284"/>
    </w:pPr>
    <w:rPr>
      <w:rFonts w:ascii="Times New Roman" w:hAnsi="Times New Roman"/>
    </w:rPr>
  </w:style>
  <w:style w:type="paragraph" w:styleId="TOC1">
    <w:name w:val="toc 1"/>
    <w:basedOn w:val="TOCBase"/>
    <w:next w:val="Normal"/>
    <w:rsid w:val="00B91C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C4D"/>
    <w:rPr>
      <w:rFonts w:ascii="Times New Roman" w:eastAsia="Times New Roman" w:hAnsi="Times New Roman" w:cs="Times New Roman"/>
      <w:sz w:val="16"/>
      <w:lang w:eastAsia="en-US"/>
    </w:rPr>
  </w:style>
  <w:style w:type="paragraph" w:styleId="Title">
    <w:name w:val="Title"/>
    <w:basedOn w:val="HeadingBase"/>
    <w:link w:val="TitleChar"/>
    <w:qFormat/>
    <w:rsid w:val="00B91C4D"/>
    <w:pPr>
      <w:spacing w:before="5040"/>
      <w:jc w:val="center"/>
    </w:pPr>
    <w:rPr>
      <w:sz w:val="48"/>
      <w:szCs w:val="72"/>
      <w:lang w:val="en-US"/>
    </w:rPr>
  </w:style>
  <w:style w:type="character" w:customStyle="1" w:styleId="TitleChar">
    <w:name w:val="Title Char"/>
    <w:basedOn w:val="DefaultParagraphFont"/>
    <w:link w:val="Title"/>
    <w:rsid w:val="00B91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C4D"/>
    <w:pPr>
      <w:tabs>
        <w:tab w:val="left" w:pos="3600"/>
        <w:tab w:val="left" w:pos="3958"/>
      </w:tabs>
    </w:pPr>
  </w:style>
  <w:style w:type="paragraph" w:styleId="List">
    <w:name w:val="List"/>
    <w:basedOn w:val="BodyText"/>
    <w:next w:val="BodyText"/>
    <w:rsid w:val="00B91C4D"/>
    <w:pPr>
      <w:tabs>
        <w:tab w:val="left" w:pos="340"/>
      </w:tabs>
      <w:spacing w:before="60" w:after="60"/>
      <w:ind w:left="340" w:hanging="340"/>
    </w:pPr>
  </w:style>
  <w:style w:type="paragraph" w:customStyle="1" w:styleId="Note">
    <w:name w:val="Note"/>
    <w:basedOn w:val="BodyText"/>
    <w:rsid w:val="00B91C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1C4D"/>
    <w:rPr>
      <w:b/>
      <w:spacing w:val="0"/>
    </w:rPr>
  </w:style>
  <w:style w:type="paragraph" w:customStyle="1" w:styleId="SuperTitle">
    <w:name w:val="SuperTitle"/>
    <w:basedOn w:val="Title"/>
    <w:rsid w:val="00B91C4D"/>
    <w:pPr>
      <w:framePr w:wrap="auto" w:hAnchor="text" w:y="6049"/>
    </w:pPr>
    <w:rPr>
      <w:color w:val="000000"/>
      <w:sz w:val="40"/>
    </w:rPr>
  </w:style>
  <w:style w:type="paragraph" w:customStyle="1" w:styleId="TOCTitle">
    <w:name w:val="TOCTitle"/>
    <w:basedOn w:val="Heading1"/>
    <w:rsid w:val="00B91C4D"/>
    <w:pPr>
      <w:spacing w:after="240"/>
      <w:jc w:val="center"/>
      <w:outlineLvl w:val="9"/>
    </w:pPr>
    <w:rPr>
      <w:caps/>
    </w:rPr>
  </w:style>
  <w:style w:type="paragraph" w:customStyle="1" w:styleId="Version">
    <w:name w:val="Version"/>
    <w:rsid w:val="00B91C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C4D"/>
    <w:pPr>
      <w:keepNext w:val="0"/>
      <w:tabs>
        <w:tab w:val="right" w:pos="4176"/>
      </w:tabs>
      <w:ind w:left="198" w:hanging="198"/>
    </w:pPr>
    <w:rPr>
      <w:rFonts w:ascii="Garamond" w:hAnsi="Garamond"/>
    </w:rPr>
  </w:style>
  <w:style w:type="paragraph" w:styleId="IndexHeading">
    <w:name w:val="index heading"/>
    <w:basedOn w:val="Normal"/>
    <w:next w:val="Index1"/>
    <w:semiHidden/>
    <w:rsid w:val="00B91C4D"/>
    <w:pPr>
      <w:spacing w:before="120" w:after="120"/>
    </w:pPr>
    <w:rPr>
      <w:rFonts w:ascii="Arial" w:hAnsi="Arial"/>
      <w:b/>
      <w:color w:val="918585"/>
      <w:sz w:val="24"/>
    </w:rPr>
  </w:style>
  <w:style w:type="paragraph" w:styleId="Header">
    <w:name w:val="header"/>
    <w:basedOn w:val="Normal"/>
    <w:link w:val="HeaderChar"/>
    <w:rsid w:val="00B91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C4D"/>
    <w:rPr>
      <w:rFonts w:ascii="Times New Roman" w:eastAsia="Times New Roman" w:hAnsi="Times New Roman" w:cs="Times New Roman"/>
      <w:sz w:val="16"/>
      <w:szCs w:val="20"/>
      <w:lang w:val="en-GB" w:eastAsia="en-US"/>
    </w:rPr>
  </w:style>
  <w:style w:type="paragraph" w:customStyle="1" w:styleId="Chapter">
    <w:name w:val="Chapter"/>
    <w:basedOn w:val="Normal"/>
    <w:rsid w:val="00B91C4D"/>
    <w:pPr>
      <w:spacing w:before="240"/>
    </w:pPr>
    <w:rPr>
      <w:rFonts w:ascii="Times New Roman" w:hAnsi="Times New Roman"/>
      <w:smallCaps/>
      <w:spacing w:val="80"/>
      <w:sz w:val="28"/>
    </w:rPr>
  </w:style>
  <w:style w:type="paragraph" w:customStyle="1" w:styleId="InChapter">
    <w:name w:val="InChapter"/>
    <w:basedOn w:val="Heading3"/>
    <w:rsid w:val="00B91C4D"/>
    <w:pPr>
      <w:spacing w:after="240"/>
      <w:outlineLvl w:val="9"/>
    </w:pPr>
    <w:rPr>
      <w:noProof/>
    </w:rPr>
  </w:style>
  <w:style w:type="paragraph" w:styleId="Index2">
    <w:name w:val="index 2"/>
    <w:basedOn w:val="Normal"/>
    <w:next w:val="Normal"/>
    <w:semiHidden/>
    <w:rsid w:val="00B91C4D"/>
    <w:pPr>
      <w:tabs>
        <w:tab w:val="right" w:pos="4176"/>
      </w:tabs>
      <w:ind w:left="568" w:hanging="284"/>
    </w:pPr>
    <w:rPr>
      <w:rFonts w:ascii="Garamond" w:hAnsi="Garamond"/>
    </w:rPr>
  </w:style>
  <w:style w:type="paragraph" w:customStyle="1" w:styleId="Byline">
    <w:name w:val="Byline"/>
    <w:rsid w:val="00B91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C4D"/>
    <w:pPr>
      <w:tabs>
        <w:tab w:val="clear" w:pos="3600"/>
        <w:tab w:val="clear" w:pos="3958"/>
      </w:tabs>
      <w:jc w:val="right"/>
    </w:pPr>
  </w:style>
  <w:style w:type="character" w:styleId="Emphasis">
    <w:name w:val="Emphasis"/>
    <w:basedOn w:val="DefaultParagraphFont"/>
    <w:qFormat/>
    <w:rsid w:val="00B91C4D"/>
    <w:rPr>
      <w:i/>
    </w:rPr>
  </w:style>
  <w:style w:type="paragraph" w:styleId="Caption">
    <w:name w:val="caption"/>
    <w:basedOn w:val="BodyText"/>
    <w:next w:val="Normal"/>
    <w:qFormat/>
    <w:rsid w:val="00B91C4D"/>
    <w:pPr>
      <w:framePr w:w="2268" w:hSpace="181" w:vSpace="181" w:wrap="around" w:vAnchor="text" w:hAnchor="page" w:x="1135" w:y="285" w:anchorLock="1"/>
    </w:pPr>
    <w:rPr>
      <w:i/>
    </w:rPr>
  </w:style>
  <w:style w:type="paragraph" w:customStyle="1" w:styleId="MiniTOCTitle">
    <w:name w:val="MiniTOCTitle"/>
    <w:basedOn w:val="Heading4"/>
    <w:rsid w:val="00B91C4D"/>
    <w:pPr>
      <w:spacing w:before="240"/>
      <w:outlineLvl w:val="9"/>
    </w:pPr>
    <w:rPr>
      <w:noProof/>
      <w:sz w:val="24"/>
    </w:rPr>
  </w:style>
  <w:style w:type="paragraph" w:customStyle="1" w:styleId="MiniTOCItem">
    <w:name w:val="MiniTOCItem"/>
    <w:basedOn w:val="ListBullet"/>
    <w:rsid w:val="00B91C4D"/>
    <w:pPr>
      <w:numPr>
        <w:numId w:val="0"/>
      </w:numPr>
      <w:tabs>
        <w:tab w:val="right" w:leader="dot" w:pos="6521"/>
      </w:tabs>
      <w:spacing w:before="0" w:after="0"/>
    </w:pPr>
  </w:style>
  <w:style w:type="paragraph" w:customStyle="1" w:styleId="TOFTitle">
    <w:name w:val="TOFTitle"/>
    <w:basedOn w:val="TOCTitle"/>
    <w:rsid w:val="00B91C4D"/>
  </w:style>
  <w:style w:type="paragraph" w:styleId="TableofFigures">
    <w:name w:val="table of figures"/>
    <w:basedOn w:val="Normal"/>
    <w:next w:val="Normal"/>
    <w:semiHidden/>
    <w:rsid w:val="00B91C4D"/>
    <w:pPr>
      <w:tabs>
        <w:tab w:val="right" w:leader="dot" w:pos="9072"/>
      </w:tabs>
      <w:ind w:left="970" w:hanging="403"/>
    </w:pPr>
    <w:rPr>
      <w:rFonts w:ascii="Times New Roman" w:hAnsi="Times New Roman"/>
      <w:b/>
    </w:rPr>
  </w:style>
  <w:style w:type="paragraph" w:styleId="ListNumber">
    <w:name w:val="List Number"/>
    <w:basedOn w:val="List"/>
    <w:rsid w:val="00B91C4D"/>
    <w:pPr>
      <w:numPr>
        <w:numId w:val="11"/>
      </w:numPr>
    </w:pPr>
  </w:style>
  <w:style w:type="character" w:customStyle="1" w:styleId="WingdingSymbols">
    <w:name w:val="Wingding Symbols"/>
    <w:rsid w:val="00B91C4D"/>
    <w:rPr>
      <w:rFonts w:ascii="Wingdings" w:hAnsi="Wingdings"/>
    </w:rPr>
  </w:style>
  <w:style w:type="paragraph" w:customStyle="1" w:styleId="TableHeading">
    <w:name w:val="Table Heading"/>
    <w:basedOn w:val="HeadingBase"/>
    <w:rsid w:val="00B91C4D"/>
    <w:pPr>
      <w:keepLines/>
      <w:pBdr>
        <w:bottom w:val="single" w:sz="6" w:space="1" w:color="918585"/>
      </w:pBdr>
      <w:spacing w:before="240"/>
    </w:pPr>
  </w:style>
  <w:style w:type="character" w:customStyle="1" w:styleId="HotSpot">
    <w:name w:val="HotSpot"/>
    <w:rsid w:val="00B91C4D"/>
    <w:rPr>
      <w:color w:val="0033CC"/>
      <w:u w:val="none"/>
    </w:rPr>
  </w:style>
  <w:style w:type="paragraph" w:customStyle="1" w:styleId="BodyTextRight">
    <w:name w:val="Body Text Right"/>
    <w:basedOn w:val="BodyText"/>
    <w:rsid w:val="00B91C4D"/>
    <w:pPr>
      <w:spacing w:before="0" w:after="0"/>
      <w:jc w:val="right"/>
    </w:pPr>
  </w:style>
  <w:style w:type="paragraph" w:styleId="Index3">
    <w:name w:val="index 3"/>
    <w:basedOn w:val="ListNumber2"/>
    <w:next w:val="Normal"/>
    <w:semiHidden/>
    <w:rsid w:val="00B91C4D"/>
    <w:pPr>
      <w:numPr>
        <w:numId w:val="0"/>
      </w:numPr>
      <w:tabs>
        <w:tab w:val="right" w:leader="dot" w:pos="4176"/>
      </w:tabs>
    </w:pPr>
  </w:style>
  <w:style w:type="paragraph" w:styleId="ListNumber2">
    <w:name w:val="List Number 2"/>
    <w:basedOn w:val="List2"/>
    <w:rsid w:val="00B91C4D"/>
    <w:pPr>
      <w:numPr>
        <w:numId w:val="10"/>
      </w:numPr>
      <w:tabs>
        <w:tab w:val="clear" w:pos="1060"/>
      </w:tabs>
    </w:pPr>
  </w:style>
  <w:style w:type="paragraph" w:customStyle="1" w:styleId="MarginNote">
    <w:name w:val="Margin Note"/>
    <w:basedOn w:val="BodyText"/>
    <w:rsid w:val="00B91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C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C4D"/>
    <w:rPr>
      <w:sz w:val="32"/>
    </w:rPr>
  </w:style>
  <w:style w:type="paragraph" w:customStyle="1" w:styleId="HeadingProcedure">
    <w:name w:val="Heading Procedure"/>
    <w:basedOn w:val="HeadingBase"/>
    <w:next w:val="Normal"/>
    <w:rsid w:val="00B91C4D"/>
    <w:pPr>
      <w:tabs>
        <w:tab w:val="left" w:pos="0"/>
      </w:tabs>
      <w:spacing w:before="120" w:after="60"/>
    </w:pPr>
    <w:rPr>
      <w:i/>
      <w:color w:val="918585"/>
      <w:sz w:val="22"/>
    </w:rPr>
  </w:style>
  <w:style w:type="paragraph" w:customStyle="1" w:styleId="TableBodyText">
    <w:name w:val="Table Body Text"/>
    <w:basedOn w:val="BodyText"/>
    <w:rsid w:val="00B91C4D"/>
    <w:pPr>
      <w:spacing w:before="60" w:after="60"/>
    </w:pPr>
  </w:style>
  <w:style w:type="paragraph" w:styleId="ListContinue">
    <w:name w:val="List Continue"/>
    <w:basedOn w:val="List"/>
    <w:rsid w:val="00B91C4D"/>
    <w:pPr>
      <w:ind w:firstLine="0"/>
    </w:pPr>
  </w:style>
  <w:style w:type="paragraph" w:customStyle="1" w:styleId="ListNote">
    <w:name w:val="List Note"/>
    <w:basedOn w:val="List"/>
    <w:rsid w:val="00B91C4D"/>
    <w:pPr>
      <w:pBdr>
        <w:top w:val="single" w:sz="6" w:space="2" w:color="918585"/>
        <w:bottom w:val="single" w:sz="6" w:space="2" w:color="918585"/>
      </w:pBdr>
      <w:tabs>
        <w:tab w:val="left" w:pos="1021"/>
      </w:tabs>
      <w:ind w:firstLine="0"/>
    </w:pPr>
  </w:style>
  <w:style w:type="paragraph" w:customStyle="1" w:styleId="Warning">
    <w:name w:val="Warning"/>
    <w:basedOn w:val="BodyText"/>
    <w:rsid w:val="00B91C4D"/>
    <w:pPr>
      <w:shd w:val="clear" w:color="auto" w:fill="D9D9D9"/>
      <w:tabs>
        <w:tab w:val="left" w:pos="992"/>
      </w:tabs>
      <w:ind w:left="119" w:right="119"/>
    </w:pPr>
    <w:rPr>
      <w:sz w:val="20"/>
    </w:rPr>
  </w:style>
  <w:style w:type="paragraph" w:customStyle="1" w:styleId="MarginIcons">
    <w:name w:val="Margin Icons"/>
    <w:basedOn w:val="BodyText"/>
    <w:rsid w:val="00B91C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C4D"/>
    <w:rPr>
      <w:rFonts w:ascii="Courier New" w:hAnsi="Courier New"/>
    </w:rPr>
  </w:style>
  <w:style w:type="paragraph" w:customStyle="1" w:styleId="NoteBullet">
    <w:name w:val="Note Bullet"/>
    <w:basedOn w:val="Note"/>
    <w:rsid w:val="00B91C4D"/>
    <w:pPr>
      <w:tabs>
        <w:tab w:val="clear" w:pos="680"/>
      </w:tabs>
      <w:spacing w:before="60" w:after="60"/>
    </w:pPr>
  </w:style>
  <w:style w:type="paragraph" w:customStyle="1" w:styleId="SubHeading2">
    <w:name w:val="SubHeading2"/>
    <w:basedOn w:val="HeadingBase"/>
    <w:rsid w:val="00B91C4D"/>
    <w:pPr>
      <w:spacing w:before="240" w:after="60"/>
    </w:pPr>
    <w:rPr>
      <w:sz w:val="20"/>
    </w:rPr>
  </w:style>
  <w:style w:type="paragraph" w:customStyle="1" w:styleId="SubHeading1">
    <w:name w:val="SubHeading1"/>
    <w:basedOn w:val="HeadingBase"/>
    <w:rsid w:val="00B91C4D"/>
    <w:pPr>
      <w:spacing w:before="240" w:after="60"/>
    </w:pPr>
    <w:rPr>
      <w:color w:val="918585"/>
      <w:sz w:val="22"/>
    </w:rPr>
  </w:style>
  <w:style w:type="paragraph" w:customStyle="1" w:styleId="SideHeading">
    <w:name w:val="Side Heading"/>
    <w:basedOn w:val="HeadingBase"/>
    <w:rsid w:val="00B91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C4D"/>
    <w:pPr>
      <w:numPr>
        <w:numId w:val="12"/>
      </w:numPr>
    </w:pPr>
  </w:style>
  <w:style w:type="paragraph" w:styleId="PlainText">
    <w:name w:val="Plain Text"/>
    <w:basedOn w:val="Normal"/>
    <w:link w:val="PlainTextChar"/>
    <w:rsid w:val="00B91C4D"/>
    <w:rPr>
      <w:sz w:val="20"/>
    </w:rPr>
  </w:style>
  <w:style w:type="character" w:customStyle="1" w:styleId="PlainTextChar">
    <w:name w:val="Plain Text Char"/>
    <w:basedOn w:val="DefaultParagraphFont"/>
    <w:link w:val="PlainText"/>
    <w:rsid w:val="00B91C4D"/>
    <w:rPr>
      <w:rFonts w:ascii="Courier New" w:eastAsia="Times New Roman" w:hAnsi="Courier New" w:cs="Times New Roman"/>
      <w:sz w:val="20"/>
      <w:szCs w:val="20"/>
      <w:lang w:eastAsia="en-US"/>
    </w:rPr>
  </w:style>
  <w:style w:type="character" w:customStyle="1" w:styleId="MenuOption">
    <w:name w:val="Menu Option"/>
    <w:basedOn w:val="DefaultParagraphFont"/>
    <w:rsid w:val="00B91C4D"/>
    <w:rPr>
      <w:b/>
      <w:smallCaps/>
    </w:rPr>
  </w:style>
  <w:style w:type="paragraph" w:customStyle="1" w:styleId="TableListNumber">
    <w:name w:val="Table List Number"/>
    <w:basedOn w:val="ListNumber"/>
    <w:rsid w:val="00B91C4D"/>
    <w:pPr>
      <w:numPr>
        <w:numId w:val="0"/>
      </w:numPr>
    </w:pPr>
  </w:style>
  <w:style w:type="paragraph" w:styleId="TOC4">
    <w:name w:val="toc 4"/>
    <w:basedOn w:val="TOCBase"/>
    <w:next w:val="Normal"/>
    <w:semiHidden/>
    <w:rsid w:val="00B91C4D"/>
    <w:pPr>
      <w:tabs>
        <w:tab w:val="right" w:leader="dot" w:pos="9071"/>
      </w:tabs>
      <w:ind w:left="1701"/>
    </w:pPr>
  </w:style>
  <w:style w:type="paragraph" w:customStyle="1" w:styleId="ListAlpha">
    <w:name w:val="List Alpha"/>
    <w:basedOn w:val="List"/>
    <w:rsid w:val="00B91C4D"/>
    <w:pPr>
      <w:numPr>
        <w:numId w:val="9"/>
      </w:numPr>
    </w:pPr>
  </w:style>
  <w:style w:type="paragraph" w:customStyle="1" w:styleId="ListAlpha2">
    <w:name w:val="List Alpha 2"/>
    <w:basedOn w:val="List2"/>
    <w:rsid w:val="00B91C4D"/>
    <w:pPr>
      <w:numPr>
        <w:numId w:val="8"/>
      </w:numPr>
    </w:pPr>
  </w:style>
  <w:style w:type="paragraph" w:styleId="List2">
    <w:name w:val="List 2"/>
    <w:basedOn w:val="BodyText"/>
    <w:rsid w:val="00B91C4D"/>
    <w:pPr>
      <w:tabs>
        <w:tab w:val="left" w:pos="680"/>
      </w:tabs>
      <w:spacing w:before="60" w:after="60"/>
      <w:ind w:left="680" w:hanging="340"/>
    </w:pPr>
  </w:style>
  <w:style w:type="paragraph" w:styleId="List3">
    <w:name w:val="List 3"/>
    <w:basedOn w:val="BodyText"/>
    <w:rsid w:val="00B91C4D"/>
    <w:pPr>
      <w:tabs>
        <w:tab w:val="left" w:pos="1021"/>
      </w:tabs>
      <w:spacing w:before="60" w:after="60"/>
      <w:ind w:left="1020" w:hanging="340"/>
    </w:pPr>
  </w:style>
  <w:style w:type="paragraph" w:styleId="List4">
    <w:name w:val="List 4"/>
    <w:basedOn w:val="BodyText"/>
    <w:rsid w:val="00B91C4D"/>
    <w:pPr>
      <w:tabs>
        <w:tab w:val="left" w:pos="1361"/>
      </w:tabs>
      <w:spacing w:before="60" w:after="60"/>
      <w:ind w:left="1361" w:hanging="340"/>
    </w:pPr>
  </w:style>
  <w:style w:type="paragraph" w:styleId="List5">
    <w:name w:val="List 5"/>
    <w:basedOn w:val="BodyText"/>
    <w:rsid w:val="00B91C4D"/>
    <w:pPr>
      <w:tabs>
        <w:tab w:val="left" w:pos="1701"/>
      </w:tabs>
      <w:spacing w:before="60" w:after="60"/>
      <w:ind w:left="1701" w:hanging="340"/>
    </w:pPr>
  </w:style>
  <w:style w:type="paragraph" w:styleId="ListBullet3">
    <w:name w:val="List Bullet 3"/>
    <w:basedOn w:val="List3"/>
    <w:rsid w:val="00B91C4D"/>
    <w:pPr>
      <w:numPr>
        <w:numId w:val="15"/>
      </w:numPr>
      <w:tabs>
        <w:tab w:val="clear" w:pos="1021"/>
      </w:tabs>
      <w:ind w:left="1037" w:hanging="357"/>
    </w:pPr>
  </w:style>
  <w:style w:type="paragraph" w:styleId="ListBullet4">
    <w:name w:val="List Bullet 4"/>
    <w:basedOn w:val="List4"/>
    <w:rsid w:val="00B91C4D"/>
    <w:pPr>
      <w:numPr>
        <w:numId w:val="3"/>
      </w:numPr>
      <w:tabs>
        <w:tab w:val="clear" w:pos="1361"/>
      </w:tabs>
    </w:pPr>
  </w:style>
  <w:style w:type="paragraph" w:styleId="ListBullet5">
    <w:name w:val="List Bullet 5"/>
    <w:basedOn w:val="List5"/>
    <w:rsid w:val="00B91C4D"/>
    <w:pPr>
      <w:numPr>
        <w:numId w:val="4"/>
      </w:numPr>
    </w:pPr>
  </w:style>
  <w:style w:type="paragraph" w:styleId="ListContinue2">
    <w:name w:val="List Continue 2"/>
    <w:basedOn w:val="List2"/>
    <w:rsid w:val="00B91C4D"/>
    <w:pPr>
      <w:ind w:firstLine="0"/>
    </w:pPr>
  </w:style>
  <w:style w:type="paragraph" w:styleId="ListContinue3">
    <w:name w:val="List Continue 3"/>
    <w:basedOn w:val="List3"/>
    <w:rsid w:val="00B91C4D"/>
    <w:pPr>
      <w:ind w:left="1021" w:firstLine="0"/>
    </w:pPr>
  </w:style>
  <w:style w:type="paragraph" w:styleId="ListContinue4">
    <w:name w:val="List Continue 4"/>
    <w:basedOn w:val="List4"/>
    <w:rsid w:val="00B91C4D"/>
    <w:pPr>
      <w:ind w:firstLine="0"/>
    </w:pPr>
  </w:style>
  <w:style w:type="paragraph" w:styleId="ListContinue5">
    <w:name w:val="List Continue 5"/>
    <w:basedOn w:val="List5"/>
    <w:rsid w:val="00B91C4D"/>
    <w:pPr>
      <w:ind w:firstLine="0"/>
    </w:pPr>
  </w:style>
  <w:style w:type="paragraph" w:styleId="ListNumber3">
    <w:name w:val="List Number 3"/>
    <w:basedOn w:val="List3"/>
    <w:rsid w:val="00B91C4D"/>
    <w:pPr>
      <w:numPr>
        <w:numId w:val="5"/>
      </w:numPr>
    </w:pPr>
  </w:style>
  <w:style w:type="paragraph" w:styleId="ListNumber4">
    <w:name w:val="List Number 4"/>
    <w:basedOn w:val="List4"/>
    <w:rsid w:val="00B91C4D"/>
    <w:pPr>
      <w:numPr>
        <w:numId w:val="6"/>
      </w:numPr>
    </w:pPr>
  </w:style>
  <w:style w:type="paragraph" w:styleId="ListNumber5">
    <w:name w:val="List Number 5"/>
    <w:basedOn w:val="List5"/>
    <w:rsid w:val="00B91C4D"/>
    <w:pPr>
      <w:numPr>
        <w:numId w:val="7"/>
      </w:numPr>
    </w:pPr>
  </w:style>
  <w:style w:type="paragraph" w:styleId="BlockText">
    <w:name w:val="Block Text"/>
    <w:basedOn w:val="Normal"/>
    <w:rsid w:val="00B91C4D"/>
    <w:pPr>
      <w:spacing w:after="120"/>
      <w:ind w:left="1440" w:right="1440"/>
    </w:pPr>
  </w:style>
  <w:style w:type="character" w:customStyle="1" w:styleId="Subscript">
    <w:name w:val="Subscript"/>
    <w:basedOn w:val="DefaultParagraphFont"/>
    <w:rsid w:val="00B91C4D"/>
    <w:rPr>
      <w:sz w:val="16"/>
      <w:vertAlign w:val="subscript"/>
    </w:rPr>
  </w:style>
  <w:style w:type="character" w:customStyle="1" w:styleId="Superscript">
    <w:name w:val="Superscript"/>
    <w:basedOn w:val="DefaultParagraphFont"/>
    <w:rsid w:val="00B91C4D"/>
    <w:rPr>
      <w:sz w:val="16"/>
      <w:vertAlign w:val="superscript"/>
    </w:rPr>
  </w:style>
  <w:style w:type="character" w:customStyle="1" w:styleId="Symbols">
    <w:name w:val="Symbols"/>
    <w:basedOn w:val="DefaultParagraphFont"/>
    <w:rsid w:val="00B91C4D"/>
    <w:rPr>
      <w:rFonts w:ascii="Symbol" w:hAnsi="Symbol"/>
    </w:rPr>
  </w:style>
  <w:style w:type="character" w:customStyle="1" w:styleId="MenuOptions">
    <w:name w:val="Menu Options"/>
    <w:basedOn w:val="DefaultParagraphFont"/>
    <w:rsid w:val="00B91C4D"/>
    <w:rPr>
      <w:rFonts w:ascii="Arial Narrow" w:hAnsi="Arial Narrow"/>
      <w:smallCaps/>
    </w:rPr>
  </w:style>
  <w:style w:type="character" w:customStyle="1" w:styleId="Buttons">
    <w:name w:val="Buttons"/>
    <w:basedOn w:val="DefaultParagraphFont"/>
    <w:rsid w:val="00B91C4D"/>
    <w:rPr>
      <w:b/>
    </w:rPr>
  </w:style>
  <w:style w:type="character" w:customStyle="1" w:styleId="Underlined">
    <w:name w:val="Underlined"/>
    <w:basedOn w:val="DefaultParagraphFont"/>
    <w:rsid w:val="00B91C4D"/>
    <w:rPr>
      <w:u w:val="single"/>
    </w:rPr>
  </w:style>
  <w:style w:type="paragraph" w:customStyle="1" w:styleId="TableBodyTextRight">
    <w:name w:val="Table Body Text Right"/>
    <w:basedOn w:val="TableBodyText"/>
    <w:rsid w:val="00B91C4D"/>
    <w:pPr>
      <w:widowControl w:val="0"/>
      <w:autoSpaceDE w:val="0"/>
      <w:autoSpaceDN w:val="0"/>
      <w:adjustRightInd w:val="0"/>
      <w:jc w:val="right"/>
    </w:pPr>
    <w:rPr>
      <w:rFonts w:cs="Arial"/>
      <w:szCs w:val="18"/>
    </w:rPr>
  </w:style>
  <w:style w:type="paragraph" w:customStyle="1" w:styleId="CopyrightText">
    <w:name w:val="Copyright Text"/>
    <w:basedOn w:val="BodyText"/>
    <w:rsid w:val="00B91C4D"/>
    <w:rPr>
      <w:sz w:val="18"/>
    </w:rPr>
  </w:style>
  <w:style w:type="paragraph" w:customStyle="1" w:styleId="BodySmallRight">
    <w:name w:val="Body Small Right"/>
    <w:basedOn w:val="BodyTextRight"/>
    <w:rsid w:val="00B91C4D"/>
    <w:rPr>
      <w:sz w:val="18"/>
      <w:szCs w:val="18"/>
    </w:rPr>
  </w:style>
  <w:style w:type="paragraph" w:customStyle="1" w:styleId="MarginEdition">
    <w:name w:val="Margin Edition"/>
    <w:basedOn w:val="MarginNote"/>
    <w:rsid w:val="00B91C4D"/>
    <w:pPr>
      <w:spacing w:before="0" w:after="0"/>
    </w:pPr>
    <w:rPr>
      <w:rFonts w:ascii="Times New Roman" w:hAnsi="Times New Roman"/>
      <w:color w:val="999999"/>
    </w:rPr>
  </w:style>
  <w:style w:type="paragraph" w:customStyle="1" w:styleId="Spacer">
    <w:name w:val="Spacer"/>
    <w:basedOn w:val="Normal"/>
    <w:rsid w:val="00B91C4D"/>
    <w:rPr>
      <w:sz w:val="2"/>
      <w:szCs w:val="2"/>
    </w:rPr>
  </w:style>
  <w:style w:type="character" w:customStyle="1" w:styleId="Small">
    <w:name w:val="Small"/>
    <w:basedOn w:val="DefaultParagraphFont"/>
    <w:rsid w:val="00B91C4D"/>
    <w:rPr>
      <w:sz w:val="16"/>
    </w:rPr>
  </w:style>
  <w:style w:type="paragraph" w:customStyle="1" w:styleId="WideTable">
    <w:name w:val="Wide Table"/>
    <w:basedOn w:val="Normal"/>
    <w:rsid w:val="00B91C4D"/>
    <w:pPr>
      <w:ind w:left="-1418"/>
    </w:pPr>
    <w:rPr>
      <w:sz w:val="2"/>
      <w:szCs w:val="2"/>
    </w:rPr>
  </w:style>
  <w:style w:type="character" w:styleId="PageNumber">
    <w:name w:val="page number"/>
    <w:basedOn w:val="DefaultParagraphFont"/>
    <w:rsid w:val="00B91C4D"/>
  </w:style>
  <w:style w:type="paragraph" w:styleId="Quote">
    <w:name w:val="Quote"/>
    <w:basedOn w:val="Heading1"/>
    <w:link w:val="QuoteChar"/>
    <w:qFormat/>
    <w:rsid w:val="00B91C4D"/>
    <w:rPr>
      <w:b w:val="0"/>
      <w:sz w:val="72"/>
      <w:szCs w:val="72"/>
      <w:lang w:val="en-NZ"/>
    </w:rPr>
  </w:style>
  <w:style w:type="character" w:customStyle="1" w:styleId="QuoteChar">
    <w:name w:val="Quote Char"/>
    <w:basedOn w:val="DefaultParagraphFont"/>
    <w:link w:val="Quote"/>
    <w:rsid w:val="00B91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C4D"/>
    <w:pPr>
      <w:pageBreakBefore/>
    </w:pPr>
  </w:style>
  <w:style w:type="paragraph" w:customStyle="1" w:styleId="Border">
    <w:name w:val="Border"/>
    <w:basedOn w:val="Normal"/>
    <w:qFormat/>
    <w:rsid w:val="00B91C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C4D"/>
    <w:rPr>
      <w:b/>
      <w:bCs/>
      <w:i/>
      <w:iCs/>
      <w:color w:val="auto"/>
    </w:rPr>
  </w:style>
  <w:style w:type="paragraph" w:styleId="IntenseQuote">
    <w:name w:val="Intense Quote"/>
    <w:basedOn w:val="Normal"/>
    <w:next w:val="Normal"/>
    <w:link w:val="IntenseQuoteChar"/>
    <w:uiPriority w:val="30"/>
    <w:qFormat/>
    <w:rsid w:val="00B91C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C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C4D"/>
    <w:rPr>
      <w:smallCaps/>
      <w:color w:val="auto"/>
      <w:u w:val="single"/>
    </w:rPr>
  </w:style>
  <w:style w:type="character" w:styleId="IntenseReference">
    <w:name w:val="Intense Reference"/>
    <w:basedOn w:val="DefaultParagraphFont"/>
    <w:uiPriority w:val="32"/>
    <w:qFormat/>
    <w:rsid w:val="00B91C4D"/>
    <w:rPr>
      <w:b/>
      <w:bCs/>
      <w:smallCaps/>
      <w:color w:val="auto"/>
      <w:spacing w:val="5"/>
      <w:u w:val="single"/>
    </w:rPr>
  </w:style>
  <w:style w:type="paragraph" w:customStyle="1" w:styleId="2ColumnHeading">
    <w:name w:val="2Column Heading"/>
    <w:basedOn w:val="BodyText"/>
    <w:qFormat/>
    <w:rsid w:val="00B91C4D"/>
    <w:pPr>
      <w:spacing w:after="60"/>
      <w:ind w:left="-2268"/>
    </w:pPr>
    <w:rPr>
      <w:b/>
    </w:rPr>
  </w:style>
  <w:style w:type="paragraph" w:customStyle="1" w:styleId="Heading1TOC">
    <w:name w:val="Heading1 TOC"/>
    <w:basedOn w:val="Normal"/>
    <w:qFormat/>
    <w:rsid w:val="00B91C4D"/>
    <w:pPr>
      <w:spacing w:before="240" w:after="120"/>
    </w:pPr>
    <w:rPr>
      <w:rFonts w:ascii="Times New Roman" w:hAnsi="Times New Roman"/>
      <w:b/>
      <w:sz w:val="32"/>
    </w:rPr>
  </w:style>
  <w:style w:type="paragraph" w:customStyle="1" w:styleId="Heading2TOC">
    <w:name w:val="Heading2 TOC"/>
    <w:basedOn w:val="Normal"/>
    <w:qFormat/>
    <w:rsid w:val="00B91C4D"/>
    <w:pPr>
      <w:spacing w:before="240" w:after="60"/>
    </w:pPr>
    <w:rPr>
      <w:rFonts w:ascii="Times New Roman" w:hAnsi="Times New Roman"/>
      <w:b/>
      <w:sz w:val="28"/>
    </w:rPr>
  </w:style>
  <w:style w:type="character" w:customStyle="1" w:styleId="Underline">
    <w:name w:val="Underline"/>
    <w:basedOn w:val="DefaultParagraphFont"/>
    <w:qFormat/>
    <w:rsid w:val="00B91C4D"/>
    <w:rPr>
      <w:u w:val="single"/>
    </w:rPr>
  </w:style>
  <w:style w:type="character" w:customStyle="1" w:styleId="BoldandItalics">
    <w:name w:val="Bold and Italics"/>
    <w:qFormat/>
    <w:rsid w:val="00B91C4D"/>
    <w:rPr>
      <w:b/>
      <w:i/>
      <w:u w:val="none"/>
    </w:rPr>
  </w:style>
  <w:style w:type="paragraph" w:styleId="BalloonText">
    <w:name w:val="Balloon Text"/>
    <w:basedOn w:val="Normal"/>
    <w:link w:val="BalloonTextChar"/>
    <w:rsid w:val="00B91C4D"/>
    <w:rPr>
      <w:rFonts w:ascii="Tahoma" w:hAnsi="Tahoma" w:cs="Tahoma"/>
      <w:sz w:val="16"/>
      <w:szCs w:val="16"/>
    </w:rPr>
  </w:style>
  <w:style w:type="character" w:customStyle="1" w:styleId="BalloonTextChar">
    <w:name w:val="Balloon Text Char"/>
    <w:basedOn w:val="DefaultParagraphFont"/>
    <w:link w:val="BalloonText"/>
    <w:rsid w:val="00B91C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C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1C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C4D"/>
    <w:rPr>
      <w:b/>
      <w:color w:val="660033"/>
      <w:spacing w:val="0"/>
    </w:rPr>
  </w:style>
  <w:style w:type="paragraph" w:customStyle="1" w:styleId="Nameditemlist">
    <w:name w:val="Named item list"/>
    <w:basedOn w:val="BodyText"/>
    <w:qFormat/>
    <w:rsid w:val="00B91C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5403</Characters>
  <Application>Microsoft Office Word</Application>
  <DocSecurity>0</DocSecurity>
  <Lines>135</Lines>
  <Paragraphs>76</Paragraphs>
  <ScaleCrop>false</ScaleCrop>
  <Company>Author-it Software Corporation Ltd.</Company>
  <LinksUpToDate>false</LinksUpToDate>
  <CharactersWithSpaces>6224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RIIMPO203D Support bucket wheel system operations</dc:title>
  <dc:subject>Approved</dc:subject>
  <dc:creator>SkillsDMC</dc:creator>
  <cp:keywords>Release: 4</cp:keywords>
  <dc:description>Review Date: 12 April 2008</dc:description>
  <cp:lastModifiedBy>HSD_TPCMSd.prod</cp:lastModifiedBy>
  <cp:revision>3</cp:revision>
  <dcterms:created xsi:type="dcterms:W3CDTF">2015-12-14T08:18:00Z</dcterms:created>
  <dcterms:modified xsi:type="dcterms:W3CDTF">2015-12-14T08:18:00Z</dcterms:modified>
</cp:coreProperties>
</file>