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3DE" w:rsidP="000453DE">
      <w:pPr>
        <w:pStyle w:val="Title"/>
      </w:pPr>
      <w:r>
        <w:fldChar w:fldCharType="begin"/>
      </w:r>
      <w:r>
        <w:instrText xml:space="preserve"> TITLE   \* MERGEFORMAT </w:instrText>
      </w:r>
      <w:r>
        <w:fldChar w:fldCharType="separate"/>
      </w:r>
      <w:r>
        <w:t>Assessment Requirements for RIIMPG301D Control and monitor automated plant/machinery</w:t>
      </w:r>
      <w:r>
        <w:fldChar w:fldCharType="end"/>
      </w:r>
    </w:p>
    <w:p w:rsidR="000453DE" w:rsidP="000453DE">
      <w:pPr>
        <w:pStyle w:val="Version"/>
        <w:sectPr w:rsidSect="003D25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2510" w:rsidP="003D2510">
      <w:pPr>
        <w:pStyle w:val="SuperHeading"/>
      </w:pPr>
      <w:r w:rsidRPr="003D2510">
        <w:t>Assessment Requirements for RIIMPG301D Control and monitor automated plant/machinery</w:t>
      </w:r>
    </w:p>
    <w:p w:rsidR="00000000" w:rsidRPr="003D2510" w:rsidP="003D2510">
      <w:pPr>
        <w:pStyle w:val="Heading1"/>
      </w:pPr>
      <w:bookmarkStart w:id="1" w:name="O_690481"/>
      <w:bookmarkEnd w:id="1"/>
      <w:r w:rsidRPr="003D2510">
        <w:t>Modification History</w:t>
      </w:r>
    </w:p>
    <w:tbl>
      <w:tblPr>
        <w:tblW w:w="9270" w:type="dxa"/>
        <w:tblLayout w:type="fixed"/>
        <w:tblCellMar>
          <w:left w:w="62" w:type="dxa"/>
          <w:right w:w="62" w:type="dxa"/>
        </w:tblCellMar>
        <w:tblLook w:val="0000"/>
      </w:tblPr>
      <w:tblGrid>
        <w:gridCol w:w="1170"/>
        <w:gridCol w:w="8100"/>
      </w:tblGrid>
      <w:tr w:rsidTr="000453D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510">
            <w:pPr>
              <w:pStyle w:val="Heading4"/>
              <w:rPr>
                <w:lang w:val="en-NZ"/>
              </w:rPr>
            </w:pPr>
            <w:r w:rsidRPr="003D251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510">
            <w:pPr>
              <w:pStyle w:val="Heading4"/>
              <w:rPr>
                <w:lang w:val="en-NZ"/>
              </w:rPr>
            </w:pPr>
            <w:r w:rsidRPr="003D2510">
              <w:t>Comment</w:t>
            </w:r>
          </w:p>
        </w:tc>
      </w:tr>
      <w:tr w:rsidTr="000453D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510">
            <w:pPr>
              <w:pStyle w:val="BodyText"/>
              <w:rPr>
                <w:lang w:val="en-NZ"/>
              </w:rPr>
            </w:pPr>
            <w:r w:rsidRPr="003D251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510">
            <w:pPr>
              <w:pStyle w:val="BodyText"/>
              <w:rPr>
                <w:lang w:val="en-NZ"/>
              </w:rPr>
            </w:pPr>
            <w:r w:rsidRPr="003D2510">
              <w:t>This unit replaces RIIMPG301A Control and monitor automated plant/machinery</w:t>
            </w:r>
          </w:p>
        </w:tc>
      </w:tr>
      <w:tr w:rsidTr="000453D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510">
            <w:pPr>
              <w:pStyle w:val="BodyText"/>
              <w:rPr>
                <w:lang w:val="en-NZ"/>
              </w:rPr>
            </w:pPr>
            <w:r w:rsidRPr="003D251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510" w:rsidP="003D2510">
            <w:pPr>
              <w:pStyle w:val="BodyText"/>
            </w:pPr>
            <w:r w:rsidRPr="003D2510">
              <w:t>Required frequency and volume of evidence amended in Performance evidence.</w:t>
            </w:r>
            <w:r w:rsidRPr="003D2510">
              <w:br/>
              <w:t>Substantial amendments made in Assessment Conditions field, including: references to Industry Sectors, assessor and subject matter expert experience requirements, how assessment sho</w:t>
            </w:r>
            <w:r w:rsidRPr="003D2510">
              <w:t>uld be conducted and what it should confirm.</w:t>
            </w:r>
          </w:p>
        </w:tc>
      </w:tr>
    </w:tbl>
    <w:p w:rsidR="00000000" w:rsidRPr="003D2510" w:rsidP="003D2510">
      <w:pPr>
        <w:pStyle w:val="BodyText"/>
      </w:pPr>
    </w:p>
    <w:p w:rsidR="00000000" w:rsidRPr="003D2510" w:rsidP="003D2510">
      <w:pPr>
        <w:pStyle w:val="AllowPageBreak"/>
      </w:pPr>
    </w:p>
    <w:p w:rsidR="00000000" w:rsidRPr="003D2510" w:rsidP="003D2510">
      <w:pPr>
        <w:pStyle w:val="Heading1"/>
      </w:pPr>
      <w:bookmarkStart w:id="2" w:name="O_690480"/>
      <w:bookmarkEnd w:id="2"/>
      <w:r w:rsidRPr="003D2510">
        <w:t>Performance Evidence</w:t>
      </w:r>
    </w:p>
    <w:p w:rsidR="00000000" w:rsidRPr="003D2510" w:rsidP="000453DE">
      <w:pPr>
        <w:pStyle w:val="BodyText"/>
      </w:pPr>
      <w:r w:rsidRPr="003D2510">
        <w:t>Evidence is required to be collected that demonstrates a candidate’s competency in this unit. Evidence must be relevant to the roles within this sector’s work operations a</w:t>
      </w:r>
      <w:r w:rsidRPr="003D2510">
        <w:t>nd satisfy all of the requirements of the performance criteria of this unit and include evidence that the candidate:</w:t>
      </w:r>
    </w:p>
    <w:p w:rsidR="00000000" w:rsidRPr="003D2510" w:rsidP="003D2510">
      <w:pPr>
        <w:pStyle w:val="ListBullet"/>
      </w:pPr>
      <w:r w:rsidRPr="003D2510">
        <w:t>locates and applies applicable legislation, documentation, policies and procedures</w:t>
      </w:r>
    </w:p>
    <w:p w:rsidR="00000000" w:rsidRPr="003D2510" w:rsidP="003D2510">
      <w:pPr>
        <w:pStyle w:val="ListBullet"/>
      </w:pPr>
      <w:r w:rsidRPr="003D2510">
        <w:t>implements requirements, procedures and techniques for the safe, effective and efficient controlling and monitoring of automated plant/machinery including:</w:t>
      </w:r>
    </w:p>
    <w:p w:rsidR="00000000" w:rsidRPr="003D2510" w:rsidP="003D2510">
      <w:pPr>
        <w:pStyle w:val="ListBullet2"/>
      </w:pPr>
      <w:r w:rsidRPr="003D2510">
        <w:t>establishing work plans</w:t>
      </w:r>
    </w:p>
    <w:p w:rsidR="00000000" w:rsidRPr="003D2510" w:rsidP="003D2510">
      <w:pPr>
        <w:pStyle w:val="ListBullet2"/>
      </w:pPr>
      <w:r w:rsidRPr="003D2510">
        <w:t>assessing operational capability and limitation of equipment used</w:t>
      </w:r>
    </w:p>
    <w:p w:rsidR="00000000" w:rsidRPr="003D2510" w:rsidP="003D2510">
      <w:pPr>
        <w:pStyle w:val="ListBullet2"/>
      </w:pPr>
      <w:r w:rsidRPr="003D2510">
        <w:t>assessing</w:t>
      </w:r>
      <w:r w:rsidRPr="003D2510">
        <w:t xml:space="preserve"> capability and limitation of work processes selected</w:t>
      </w:r>
    </w:p>
    <w:p w:rsidR="00000000" w:rsidRPr="003D2510" w:rsidP="003D2510">
      <w:pPr>
        <w:pStyle w:val="ListBullet2"/>
      </w:pPr>
      <w:r w:rsidRPr="003D2510">
        <w:t xml:space="preserve">conducting prestart, shutdown and secure of equipment </w:t>
      </w:r>
    </w:p>
    <w:p w:rsidR="00000000" w:rsidRPr="003D2510" w:rsidP="003D2510">
      <w:pPr>
        <w:pStyle w:val="ListBullet2"/>
      </w:pPr>
      <w:r w:rsidRPr="003D2510">
        <w:t>identifying and reporting all potential hazards, risks, environmental issues and ground conditions</w:t>
      </w:r>
    </w:p>
    <w:p w:rsidR="00000000" w:rsidRPr="003D2510" w:rsidP="003D2510">
      <w:pPr>
        <w:pStyle w:val="ListBullet2"/>
      </w:pPr>
      <w:r w:rsidRPr="003D2510">
        <w:t>applying problem solving and troubleshooting tec</w:t>
      </w:r>
      <w:r w:rsidRPr="003D2510">
        <w:t>hniques</w:t>
      </w:r>
    </w:p>
    <w:p w:rsidR="00000000" w:rsidRPr="003D2510" w:rsidP="003D2510">
      <w:pPr>
        <w:pStyle w:val="ListBullet2"/>
      </w:pPr>
      <w:r w:rsidRPr="003D2510">
        <w:t>optimising production outputs</w:t>
      </w:r>
    </w:p>
    <w:p w:rsidR="00000000" w:rsidRPr="003D2510" w:rsidP="003D2510">
      <w:pPr>
        <w:pStyle w:val="ListBullet2"/>
      </w:pPr>
      <w:r w:rsidRPr="003D2510">
        <w:t>applying diagnostic techniques</w:t>
      </w:r>
    </w:p>
    <w:p w:rsidR="00000000" w:rsidRPr="003D2510" w:rsidP="003D2510">
      <w:pPr>
        <w:pStyle w:val="ListBullet2"/>
      </w:pPr>
      <w:r w:rsidRPr="003D2510">
        <w:t>conducting minor maintenance and adjustments requirements</w:t>
      </w:r>
    </w:p>
    <w:p w:rsidR="00000000" w:rsidRPr="003D2510" w:rsidP="003D2510">
      <w:pPr>
        <w:pStyle w:val="ListBullet2"/>
      </w:pPr>
      <w:r w:rsidRPr="003D2510">
        <w:t>conducting housekeeping</w:t>
      </w:r>
    </w:p>
    <w:p w:rsidR="00000000" w:rsidRPr="003D2510" w:rsidP="003D2510">
      <w:pPr>
        <w:pStyle w:val="ListBullet2"/>
      </w:pPr>
      <w:r w:rsidRPr="003D2510">
        <w:t>applying knowledge of mine emergency procedures and alarms</w:t>
      </w:r>
    </w:p>
    <w:p w:rsidR="00000000" w:rsidRPr="003D2510" w:rsidP="003D2510">
      <w:pPr>
        <w:pStyle w:val="ListBullet2"/>
      </w:pPr>
      <w:r w:rsidRPr="003D2510">
        <w:t xml:space="preserve">monitoring and operating manual and automatic </w:t>
      </w:r>
      <w:r w:rsidRPr="003D2510">
        <w:t>ore transfer systems</w:t>
      </w:r>
    </w:p>
    <w:p w:rsidR="00000000" w:rsidRPr="003D2510" w:rsidP="003D2510">
      <w:pPr>
        <w:pStyle w:val="ListBullet2"/>
      </w:pPr>
      <w:r w:rsidRPr="003D2510">
        <w:t>identifying and solving electrical circuit problems</w:t>
      </w:r>
    </w:p>
    <w:p w:rsidR="00000000" w:rsidRPr="003D2510" w:rsidP="003D2510">
      <w:pPr>
        <w:pStyle w:val="ListBullet2"/>
      </w:pPr>
      <w:r w:rsidRPr="003D2510">
        <w:t>identifying and solving adjust control problems</w:t>
      </w:r>
    </w:p>
    <w:p w:rsidR="00000000" w:rsidRPr="003D2510" w:rsidP="003D2510">
      <w:pPr>
        <w:pStyle w:val="ListBullet2"/>
      </w:pPr>
      <w:r w:rsidRPr="003D2510">
        <w:t>apply environmental constraints and procedures</w:t>
      </w:r>
    </w:p>
    <w:p w:rsidR="00000000" w:rsidRPr="003D2510" w:rsidP="003D2510">
      <w:pPr>
        <w:pStyle w:val="ListBullet"/>
      </w:pPr>
      <w:r w:rsidRPr="003D2510">
        <w:t>works effectively with others to undertake and complete the control and monitoring of automated plant/machinery that meets all of the required outcomes, including</w:t>
      </w:r>
    </w:p>
    <w:p w:rsidR="00000000" w:rsidRPr="003D2510" w:rsidP="003D2510">
      <w:pPr>
        <w:pStyle w:val="ListBullet2"/>
      </w:pPr>
      <w:r w:rsidRPr="003D2510">
        <w:t>using a range of communications techniques and equipment to convey information to others</w:t>
      </w:r>
    </w:p>
    <w:p w:rsidR="00000000" w:rsidRPr="003D2510" w:rsidP="003D2510">
      <w:pPr>
        <w:pStyle w:val="ListBullet2"/>
      </w:pPr>
      <w:r w:rsidRPr="003D2510">
        <w:t>mai</w:t>
      </w:r>
      <w:r w:rsidRPr="003D2510">
        <w:t>ntaining written and verbal reporting requirements and procedures</w:t>
      </w:r>
    </w:p>
    <w:p w:rsidR="00000000" w:rsidRPr="003D2510" w:rsidP="003D2510">
      <w:pPr>
        <w:pStyle w:val="ListBullet2"/>
      </w:pPr>
      <w:r w:rsidRPr="003D2510">
        <w:t>communicating to confirm work/plans/specifications</w:t>
      </w:r>
    </w:p>
    <w:p w:rsidR="00000000" w:rsidRPr="003D2510" w:rsidP="003D2510">
      <w:pPr>
        <w:pStyle w:val="ListBullet"/>
      </w:pPr>
      <w:r w:rsidRPr="003D2510">
        <w:t xml:space="preserve">demonstrates completion of controlling and monitoring automated plant/machinery that safely, effectively and efficiently meets all of the </w:t>
      </w:r>
      <w:r w:rsidRPr="003D2510">
        <w:t>required outcomes on more than one (1) occasion including:</w:t>
      </w:r>
    </w:p>
    <w:p w:rsidR="00000000" w:rsidRPr="003D2510" w:rsidP="003D2510">
      <w:pPr>
        <w:pStyle w:val="ListBullet2"/>
      </w:pPr>
      <w:r w:rsidRPr="003D2510">
        <w:t>controlling data acquisition system and associated equipment</w:t>
      </w:r>
    </w:p>
    <w:p w:rsidR="00000000" w:rsidRPr="003D2510" w:rsidP="003D2510">
      <w:pPr>
        <w:pStyle w:val="ListBullet2"/>
      </w:pPr>
      <w:r w:rsidRPr="003D2510">
        <w:t>monitoring ore transfer systems through control and data acquisition and closed circuit television</w:t>
      </w:r>
    </w:p>
    <w:p w:rsidR="00000000" w:rsidRPr="003D2510" w:rsidP="003D2510">
      <w:pPr>
        <w:pStyle w:val="ListBullet2"/>
      </w:pPr>
      <w:r w:rsidRPr="003D2510">
        <w:t>identifying and correcting minor dev</w:t>
      </w:r>
      <w:r w:rsidRPr="003D2510">
        <w:t>iations of equipment systems normal operating parameters</w:t>
      </w:r>
    </w:p>
    <w:p w:rsidR="00000000" w:rsidRPr="003D2510" w:rsidP="003D2510">
      <w:pPr>
        <w:pStyle w:val="ListBullet2"/>
      </w:pPr>
      <w:r w:rsidRPr="003D2510">
        <w:t>maintaining written equipment records</w:t>
      </w:r>
    </w:p>
    <w:p w:rsidR="00000000" w:rsidRPr="003D2510" w:rsidP="003D2510">
      <w:pPr>
        <w:pStyle w:val="ListBullet2"/>
      </w:pPr>
      <w:r w:rsidRPr="003D2510">
        <w:t>controlling closed circuit television equipment</w:t>
      </w:r>
    </w:p>
    <w:p w:rsidR="00000000" w:rsidRPr="003D2510" w:rsidP="003D2510">
      <w:pPr>
        <w:pStyle w:val="AllowPageBreak"/>
      </w:pPr>
    </w:p>
    <w:p w:rsidR="00000000" w:rsidRPr="003D2510" w:rsidP="003D2510">
      <w:pPr>
        <w:pStyle w:val="Heading1"/>
      </w:pPr>
      <w:bookmarkStart w:id="3" w:name="O_690479"/>
      <w:bookmarkEnd w:id="3"/>
      <w:r w:rsidRPr="003D2510">
        <w:t>Knowledge Evidence</w:t>
      </w:r>
    </w:p>
    <w:p w:rsidR="00000000" w:rsidRPr="003D2510" w:rsidP="000453DE">
      <w:pPr>
        <w:pStyle w:val="BodyText"/>
      </w:pPr>
      <w:r w:rsidRPr="003D2510">
        <w:t>The candidate must demonstrate knowledge in controlling and monitoring automa</w:t>
      </w:r>
      <w:r w:rsidRPr="003D2510">
        <w:t>ted plant/machinery through:</w:t>
      </w:r>
    </w:p>
    <w:p w:rsidR="00000000" w:rsidRPr="003D2510" w:rsidP="003D2510">
      <w:pPr>
        <w:pStyle w:val="ListBullet"/>
      </w:pPr>
      <w:r w:rsidRPr="003D2510">
        <w:t xml:space="preserve">applying legislative, organisation and site requirements and procedures for: </w:t>
      </w:r>
    </w:p>
    <w:p w:rsidR="00000000" w:rsidRPr="003D2510" w:rsidP="003D2510">
      <w:pPr>
        <w:pStyle w:val="ListBullet2"/>
      </w:pPr>
      <w:r w:rsidRPr="003D2510">
        <w:t>risk assessment and management</w:t>
      </w:r>
    </w:p>
    <w:p w:rsidR="00000000" w:rsidRPr="003D2510" w:rsidP="003D2510">
      <w:pPr>
        <w:pStyle w:val="ListBullet2"/>
      </w:pPr>
      <w:r w:rsidRPr="003D2510">
        <w:t>statutory compliance</w:t>
      </w:r>
    </w:p>
    <w:p w:rsidR="00000000" w:rsidRPr="003D2510" w:rsidP="003D2510">
      <w:pPr>
        <w:pStyle w:val="ListBullet2"/>
      </w:pPr>
      <w:r w:rsidRPr="003D2510">
        <w:t>work health and safety</w:t>
      </w:r>
    </w:p>
    <w:p w:rsidR="00000000" w:rsidRPr="003D2510" w:rsidP="003D2510">
      <w:pPr>
        <w:pStyle w:val="ListBullet2"/>
      </w:pPr>
      <w:r>
        <w:t>•</w:t>
      </w:r>
      <w:r>
        <w:tab/>
      </w:r>
      <w:r w:rsidRPr="003D2510">
        <w:t>completing control and monitor automated plant/machinery operational checks</w:t>
      </w:r>
    </w:p>
    <w:p w:rsidR="00000000" w:rsidRPr="003D2510" w:rsidP="003D2510">
      <w:pPr>
        <w:pStyle w:val="ListBullet2"/>
      </w:pPr>
      <w:r w:rsidRPr="003D2510">
        <w:t>hazard identification, risk assessment and response</w:t>
      </w:r>
    </w:p>
    <w:p w:rsidR="00000000" w:rsidRPr="003D2510" w:rsidP="003D2510">
      <w:pPr>
        <w:pStyle w:val="ListBullet2"/>
      </w:pPr>
      <w:r w:rsidRPr="003D2510">
        <w:t>complying with worksite coordination</w:t>
      </w:r>
    </w:p>
    <w:p w:rsidR="00000000" w:rsidRPr="003D2510" w:rsidP="003D2510">
      <w:pPr>
        <w:pStyle w:val="ListBullet2"/>
      </w:pPr>
      <w:r w:rsidRPr="003D2510">
        <w:t>optimizing productivity</w:t>
      </w:r>
    </w:p>
    <w:p w:rsidR="00000000" w:rsidRPr="003D2510" w:rsidP="003D2510">
      <w:pPr>
        <w:pStyle w:val="ListBullet"/>
      </w:pPr>
      <w:r w:rsidRPr="003D2510">
        <w:t>identifying equipment types, characteristics, technical capabilit</w:t>
      </w:r>
      <w:r w:rsidRPr="003D2510">
        <w:t>ies and limitations</w:t>
      </w:r>
    </w:p>
    <w:p w:rsidR="00000000" w:rsidRPr="003D2510" w:rsidP="003D2510">
      <w:pPr>
        <w:pStyle w:val="ListBullet"/>
      </w:pPr>
      <w:r w:rsidRPr="003D2510">
        <w:t>applying operational, maintenance and basic diagnostic procedures</w:t>
      </w:r>
    </w:p>
    <w:p w:rsidR="00000000" w:rsidRPr="003D2510" w:rsidP="003D2510">
      <w:pPr>
        <w:pStyle w:val="ListBullet"/>
      </w:pPr>
      <w:r w:rsidRPr="003D2510">
        <w:t>applying site isolation and traffic control responsibilities and authorities</w:t>
      </w:r>
    </w:p>
    <w:p w:rsidR="00000000" w:rsidRPr="003D2510" w:rsidP="003D2510">
      <w:pPr>
        <w:pStyle w:val="ListBullet"/>
      </w:pPr>
      <w:r w:rsidRPr="003D2510">
        <w:t>interpreting and complying with control and monitor automated plant/machinery methods</w:t>
      </w:r>
    </w:p>
    <w:p w:rsidR="00000000" w:rsidRPr="003D2510" w:rsidP="003D2510">
      <w:pPr>
        <w:pStyle w:val="ListBullet"/>
      </w:pPr>
      <w:r w:rsidRPr="003D2510">
        <w:t>monitor</w:t>
      </w:r>
      <w:r w:rsidRPr="003D2510">
        <w:t>ing quality assurance systems and standards</w:t>
      </w:r>
    </w:p>
    <w:p w:rsidR="00000000" w:rsidRPr="003D2510" w:rsidP="003D2510">
      <w:pPr>
        <w:pStyle w:val="ListBullet"/>
      </w:pPr>
      <w:r w:rsidRPr="003D2510">
        <w:t>applying DC and electrical circuit and control principles</w:t>
      </w:r>
    </w:p>
    <w:p w:rsidR="00000000" w:rsidRPr="003D2510" w:rsidP="003D2510">
      <w:pPr>
        <w:pStyle w:val="ListBullet"/>
      </w:pPr>
      <w:r w:rsidRPr="003D2510">
        <w:t>interpreting and complying with materials safety data sheets and materials handling methods</w:t>
      </w:r>
    </w:p>
    <w:p w:rsidR="00000000" w:rsidRPr="003D2510" w:rsidP="003D2510">
      <w:pPr>
        <w:pStyle w:val="ListBullet"/>
      </w:pPr>
      <w:r w:rsidRPr="003D2510">
        <w:t>applying electrical distribution principles</w:t>
      </w:r>
    </w:p>
    <w:p w:rsidR="00000000" w:rsidRPr="003D2510" w:rsidP="003D2510">
      <w:pPr>
        <w:pStyle w:val="ListBullet"/>
      </w:pPr>
      <w:r w:rsidRPr="003D2510">
        <w:t>identifying electrical accessories</w:t>
      </w:r>
    </w:p>
    <w:p w:rsidR="00000000" w:rsidRPr="003D2510" w:rsidP="003D2510">
      <w:pPr>
        <w:pStyle w:val="ListBullet"/>
      </w:pPr>
      <w:r w:rsidRPr="003D2510">
        <w:t>identifying</w:t>
      </w:r>
    </w:p>
    <w:p w:rsidR="00000000" w:rsidRPr="003D2510" w:rsidP="003D2510">
      <w:pPr>
        <w:pStyle w:val="ListBullet"/>
      </w:pPr>
      <w:r w:rsidRPr="003D2510">
        <w:t>identifying detection sensors</w:t>
      </w:r>
    </w:p>
    <w:p w:rsidR="00000000" w:rsidRPr="003D2510" w:rsidP="003D2510">
      <w:pPr>
        <w:pStyle w:val="ListBullet"/>
      </w:pPr>
      <w:r w:rsidRPr="003D2510">
        <w:t>identifying cables and wiring systems</w:t>
      </w:r>
    </w:p>
    <w:p w:rsidR="00000000" w:rsidRPr="003D2510" w:rsidP="003D2510">
      <w:pPr>
        <w:pStyle w:val="ListBullet"/>
      </w:pPr>
      <w:r w:rsidRPr="003D2510">
        <w:t>understanding and using circuit protection</w:t>
      </w:r>
    </w:p>
    <w:p w:rsidR="00000000" w:rsidRPr="003D2510" w:rsidP="003D2510">
      <w:pPr>
        <w:pStyle w:val="ListBullet"/>
      </w:pPr>
      <w:r w:rsidRPr="003D2510">
        <w:t>understanding transmitters and converters</w:t>
      </w:r>
    </w:p>
    <w:p w:rsidR="00000000" w:rsidRPr="003D2510" w:rsidP="003D2510">
      <w:pPr>
        <w:pStyle w:val="ListBullet"/>
      </w:pPr>
      <w:r w:rsidRPr="003D2510">
        <w:t>applying distributive control</w:t>
      </w:r>
    </w:p>
    <w:p w:rsidR="00000000" w:rsidRPr="003D2510" w:rsidP="003D2510">
      <w:pPr>
        <w:pStyle w:val="AllowPageBreak"/>
      </w:pPr>
    </w:p>
    <w:p w:rsidR="00000000" w:rsidRPr="003D2510" w:rsidP="003D2510">
      <w:pPr>
        <w:pStyle w:val="Heading1"/>
      </w:pPr>
      <w:bookmarkStart w:id="4" w:name="O_690478"/>
      <w:bookmarkEnd w:id="4"/>
      <w:r w:rsidRPr="003D2510">
        <w:t>Assessmen</w:t>
      </w:r>
      <w:r w:rsidRPr="003D2510">
        <w:t>t Conditions</w:t>
      </w:r>
    </w:p>
    <w:p w:rsidR="00000000" w:rsidRPr="003D2510" w:rsidP="003D2510">
      <w:pPr>
        <w:pStyle w:val="ListBullet"/>
      </w:pPr>
      <w:r w:rsidRPr="003D2510">
        <w:t xml:space="preserve">An assessor of this unit must satisfy the requirements of the NVR/AQTF or their successors; and Industry regulations for certification and licensing; and, </w:t>
      </w:r>
    </w:p>
    <w:p w:rsidR="00000000" w:rsidRPr="003D2510" w:rsidP="003D2510">
      <w:pPr>
        <w:pStyle w:val="ListBullet"/>
      </w:pPr>
      <w:r w:rsidRPr="003D2510">
        <w:t>this unit must be assessed in the context of this sector’s work environment; and,</w:t>
      </w:r>
    </w:p>
    <w:p w:rsidR="00000000" w:rsidRPr="003D2510" w:rsidP="003D2510">
      <w:pPr>
        <w:pStyle w:val="ListBullet"/>
      </w:pPr>
      <w:r w:rsidRPr="003D2510">
        <w:t>this</w:t>
      </w:r>
      <w:r w:rsidRPr="003D2510">
        <w:t xml:space="preserve"> unit must be assessed in compliance with relevant legislation/regulation and using policies, procedures, processes and operational manuals directly related to the industry sector for which it is being assessed; and,</w:t>
      </w:r>
    </w:p>
    <w:p w:rsidR="00000000" w:rsidRPr="003D2510" w:rsidP="003D2510">
      <w:pPr>
        <w:pStyle w:val="ListBullet"/>
      </w:pPr>
      <w:r w:rsidRPr="003D2510">
        <w:t>assessment may be conducted in conjunct</w:t>
      </w:r>
      <w:r w:rsidRPr="003D2510">
        <w:t>ion with the assessment of other Units of Competency; and,</w:t>
      </w:r>
    </w:p>
    <w:p w:rsidR="00000000" w:rsidRPr="003D2510" w:rsidP="003D2510">
      <w:pPr>
        <w:pStyle w:val="ListBullet"/>
      </w:pPr>
      <w:r w:rsidRPr="003D2510">
        <w:t>assessment must confirm consistent performance can be applied in a range of relevant workplace circumstances; and,</w:t>
      </w:r>
    </w:p>
    <w:p w:rsidR="00000000" w:rsidRPr="003D2510" w:rsidP="003D2510">
      <w:pPr>
        <w:pStyle w:val="ListBullet"/>
      </w:pPr>
      <w:r w:rsidRPr="003D2510">
        <w:t>assessors must demonstrate the performance evidence, and knowledge evidence as out</w:t>
      </w:r>
      <w:r w:rsidRPr="003D2510">
        <w:t>lined in this Unit of Competency, and through the minimum years of current* work experience specified below in an Industry sector relevant to the outcomes of the unit; or,</w:t>
      </w:r>
    </w:p>
    <w:p w:rsidR="00000000" w:rsidRPr="003D2510" w:rsidP="003D2510">
      <w:pPr>
        <w:pStyle w:val="ListBullet"/>
      </w:pPr>
      <w:r w:rsidRPr="003D2510">
        <w:t>where the assessor does not meet experience requirements a co-assessment or partners</w:t>
      </w:r>
      <w:r w:rsidRPr="003D2510">
        <w:t>hip arrangement must exist between the qualified assessor and an Industry subject matter expert. The Industry subject matter expert should hold the unit being assessed (or an equivalent unit) and/or demonstrate equivalence of skills and knowledge at the un</w:t>
      </w:r>
      <w:r w:rsidRPr="003D2510">
        <w:t>it level. An Industry technical expert must also demonstrate skills and knowledge from the minimum years of current work experience specified below in the Industry sector, including time spent in roles related to the unit being assessed; and,</w:t>
      </w:r>
    </w:p>
    <w:p w:rsidR="00000000" w:rsidRPr="003D2510" w:rsidP="003D2510">
      <w:pPr>
        <w:pStyle w:val="ListBullet"/>
      </w:pPr>
      <w:r w:rsidRPr="003D2510">
        <w:t xml:space="preserve">assessor and </w:t>
      </w:r>
      <w:r w:rsidRPr="003D2510">
        <w:t>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D251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510">
            <w:pPr>
              <w:pStyle w:val="Heading4"/>
              <w:rPr>
                <w:lang w:val="en-NZ"/>
              </w:rPr>
            </w:pPr>
            <w:r w:rsidRPr="003D251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510">
            <w:pPr>
              <w:pStyle w:val="Heading4"/>
              <w:rPr>
                <w:lang w:val="en-NZ"/>
              </w:rPr>
            </w:pPr>
            <w:r w:rsidRPr="003D251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510">
            <w:pPr>
              <w:pStyle w:val="Heading4"/>
              <w:rPr>
                <w:lang w:val="en-NZ"/>
              </w:rPr>
            </w:pPr>
            <w:r w:rsidRPr="003D2510">
              <w:t>Required assessor or Industry subject matter expert experience</w:t>
            </w:r>
          </w:p>
        </w:tc>
      </w:tr>
      <w:tr w:rsidTr="003D251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510">
            <w:pPr>
              <w:pStyle w:val="BodyText"/>
              <w:rPr>
                <w:lang w:val="en-NZ"/>
              </w:rPr>
            </w:pPr>
            <w:r w:rsidRPr="003D251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510">
            <w:pPr>
              <w:pStyle w:val="BodyText"/>
              <w:rPr>
                <w:lang w:val="en-NZ"/>
              </w:rPr>
            </w:pPr>
            <w:r w:rsidRPr="003D251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510">
            <w:pPr>
              <w:pStyle w:val="BodyText"/>
              <w:rPr>
                <w:lang w:val="en-NZ"/>
              </w:rPr>
            </w:pPr>
            <w:r w:rsidRPr="003D2510">
              <w:t>1 Year</w:t>
            </w:r>
          </w:p>
        </w:tc>
      </w:tr>
      <w:tr w:rsidTr="003D251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510">
            <w:pPr>
              <w:pStyle w:val="BodyText"/>
              <w:rPr>
                <w:lang w:val="en-NZ"/>
              </w:rPr>
            </w:pPr>
            <w:r w:rsidRPr="003D251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510">
            <w:pPr>
              <w:pStyle w:val="BodyText"/>
              <w:rPr>
                <w:lang w:val="en-NZ"/>
              </w:rPr>
            </w:pPr>
            <w:r w:rsidRPr="003D2510">
              <w:t>2 Years</w:t>
            </w:r>
          </w:p>
        </w:tc>
      </w:tr>
      <w:tr w:rsidTr="003D251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510">
            <w:pPr>
              <w:pStyle w:val="BodyText"/>
              <w:rPr>
                <w:lang w:val="en-NZ"/>
              </w:rPr>
            </w:pPr>
            <w:r w:rsidRPr="003D251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510">
            <w:pPr>
              <w:pStyle w:val="BodyText"/>
              <w:rPr>
                <w:lang w:val="en-NZ"/>
              </w:rPr>
            </w:pPr>
            <w:r w:rsidRPr="003D251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510">
            <w:pPr>
              <w:pStyle w:val="BodyText"/>
              <w:rPr>
                <w:lang w:val="en-NZ"/>
              </w:rPr>
            </w:pPr>
            <w:r w:rsidRPr="003D2510">
              <w:t>3 Years</w:t>
            </w:r>
          </w:p>
        </w:tc>
      </w:tr>
      <w:tr w:rsidTr="003D251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510">
            <w:pPr>
              <w:pStyle w:val="BodyText"/>
              <w:rPr>
                <w:lang w:val="en-NZ"/>
              </w:rPr>
            </w:pPr>
            <w:r w:rsidRPr="003D251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510">
            <w:pPr>
              <w:pStyle w:val="BodyText"/>
              <w:rPr>
                <w:lang w:val="en-NZ"/>
              </w:rPr>
            </w:pPr>
            <w:r w:rsidRPr="003D251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510">
            <w:pPr>
              <w:pStyle w:val="BodyText"/>
              <w:rPr>
                <w:lang w:val="en-NZ"/>
              </w:rPr>
            </w:pPr>
            <w:r w:rsidRPr="003D2510">
              <w:t>5 Years</w:t>
            </w:r>
          </w:p>
        </w:tc>
      </w:tr>
      <w:tr w:rsidTr="003D251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2510">
            <w:pPr>
              <w:pStyle w:val="BodyText"/>
              <w:rPr>
                <w:lang w:val="en-NZ"/>
              </w:rPr>
            </w:pPr>
            <w:r w:rsidRPr="003D251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2510" w:rsidP="003D2510">
            <w:pPr>
              <w:pStyle w:val="BodyText"/>
            </w:pPr>
            <w:r w:rsidRPr="003D2510">
              <w:t>Where this Unit is being assessed outside of the Resources and Infrastructure Sectors assessor and/or Industry subject matter expert experience should be in-line with industry standards</w:t>
            </w:r>
            <w:r w:rsidRPr="003D2510">
              <w:t xml:space="preserve"> for the sector in which it is being assessed and where no Industry standard is specified should comply with any relevant regulation.</w:t>
            </w:r>
          </w:p>
        </w:tc>
      </w:tr>
    </w:tbl>
    <w:p w:rsidR="00000000" w:rsidRPr="003D2510" w:rsidP="000453DE">
      <w:pPr>
        <w:pStyle w:val="BodyText"/>
      </w:pPr>
      <w:r w:rsidRPr="003D2510">
        <w:t>*Assessors can demonstrate current work experience through employm</w:t>
      </w:r>
      <w:r w:rsidRPr="003D2510">
        <w:t>ent within Industry in a role relevant to the outcomes of the Unit; or, for external assessors this can be demonstrated through exposure to Industry by conducting frequent site assessments across various locations.</w:t>
      </w:r>
    </w:p>
    <w:p w:rsidR="00000000" w:rsidRPr="003D2510" w:rsidP="000453DE">
      <w:pPr>
        <w:pStyle w:val="BodyText"/>
      </w:pPr>
      <w:r w:rsidRPr="003D2510">
        <w:t>**Where a unit is being delivered outside</w:t>
      </w:r>
      <w:r w:rsidRPr="003D2510">
        <w:t xml:space="preserve"> of a Qualification the first numeric character in the Unit code should be considered to indicate the AQF level</w:t>
      </w:r>
    </w:p>
    <w:p w:rsidR="00000000" w:rsidRPr="003D2510" w:rsidP="003D2510">
      <w:pPr>
        <w:pStyle w:val="Heading1"/>
      </w:pPr>
      <w:bookmarkStart w:id="5" w:name="O_690492"/>
      <w:bookmarkEnd w:id="5"/>
      <w:r w:rsidRPr="003D2510">
        <w:t>Links</w:t>
      </w:r>
    </w:p>
    <w:p w:rsidR="00000000" w:rsidRPr="003D2510" w:rsidP="000453DE">
      <w:pPr>
        <w:pStyle w:val="BodyText"/>
      </w:pPr>
      <w:r w:rsidRPr="003D251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74B1C">
        <w:rPr>
          <w:rStyle w:val="Hyperlink"/>
        </w:rPr>
        <w:t>https://vetnet.gov.au/Pages/TrainingDocs.aspx?q=88a61002-9a21-4386-aaf8-69c76e675272</w:t>
      </w:r>
      <w:r>
        <w:fldChar w:fldCharType="end"/>
      </w:r>
    </w:p>
    <w:p w:rsidR="00000000" w:rsidRPr="003D2510" w:rsidP="003D2510"/>
    <w:sectPr w:rsidSect="003D25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5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510" w:rsidRPr="000453DE" w:rsidP="000453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5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DE" w:rsidP="003D25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53DE" w:rsidP="003D25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453DE" w:rsidP="003D25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5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2510" w:rsidRPr="000453DE" w:rsidP="000453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5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DE" w:rsidRPr="002D2AF8" w:rsidP="003D2510">
    <w:pPr>
      <w:pStyle w:val="Header"/>
      <w:framePr w:wrap="around"/>
    </w:pPr>
    <w:r>
      <w:fldChar w:fldCharType="begin"/>
    </w:r>
    <w:r>
      <w:instrText xml:space="preserve"> TITLE   \* MERGEFORMAT </w:instrText>
    </w:r>
    <w:r>
      <w:fldChar w:fldCharType="separate"/>
    </w:r>
    <w:r>
      <w:t>Assessment Requirements for RIIMPG301D Control and monitor automated plant/machinery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453DE" w:rsidP="003D25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707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DA7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3A1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5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510"/>
    <w:pPr>
      <w:spacing w:before="360" w:after="60"/>
      <w:outlineLvl w:val="0"/>
    </w:pPr>
    <w:rPr>
      <w:sz w:val="32"/>
    </w:rPr>
  </w:style>
  <w:style w:type="paragraph" w:styleId="Heading2">
    <w:name w:val="heading 2"/>
    <w:basedOn w:val="HeadingBase"/>
    <w:next w:val="BodyText"/>
    <w:link w:val="Heading2Char"/>
    <w:qFormat/>
    <w:rsid w:val="003D2510"/>
    <w:pPr>
      <w:keepLines/>
      <w:spacing w:before="240" w:after="120"/>
      <w:outlineLvl w:val="1"/>
    </w:pPr>
    <w:rPr>
      <w:sz w:val="28"/>
      <w:szCs w:val="40"/>
    </w:rPr>
  </w:style>
  <w:style w:type="paragraph" w:styleId="Heading3">
    <w:name w:val="heading 3"/>
    <w:basedOn w:val="HeadingBase"/>
    <w:next w:val="BodyText"/>
    <w:link w:val="Heading3Char"/>
    <w:qFormat/>
    <w:rsid w:val="003D2510"/>
    <w:pPr>
      <w:spacing w:before="180" w:after="120"/>
      <w:outlineLvl w:val="2"/>
    </w:pPr>
    <w:rPr>
      <w:spacing w:val="-10"/>
      <w:kern w:val="32"/>
    </w:rPr>
  </w:style>
  <w:style w:type="paragraph" w:styleId="Heading4">
    <w:name w:val="heading 4"/>
    <w:basedOn w:val="HeadingBase"/>
    <w:next w:val="BodyText"/>
    <w:link w:val="Heading4Char"/>
    <w:qFormat/>
    <w:rsid w:val="003D2510"/>
    <w:pPr>
      <w:spacing w:before="160" w:after="120"/>
      <w:outlineLvl w:val="3"/>
    </w:pPr>
    <w:rPr>
      <w:sz w:val="22"/>
    </w:rPr>
  </w:style>
  <w:style w:type="paragraph" w:styleId="Heading5">
    <w:name w:val="heading 5"/>
    <w:basedOn w:val="HeadingBase"/>
    <w:next w:val="Normal"/>
    <w:link w:val="Heading5Char"/>
    <w:qFormat/>
    <w:rsid w:val="003D2510"/>
    <w:pPr>
      <w:spacing w:before="80"/>
      <w:outlineLvl w:val="4"/>
    </w:pPr>
    <w:rPr>
      <w:color w:val="918585"/>
      <w:sz w:val="20"/>
    </w:rPr>
  </w:style>
  <w:style w:type="paragraph" w:styleId="Heading6">
    <w:name w:val="heading 6"/>
    <w:basedOn w:val="HeadingBase"/>
    <w:next w:val="Normal"/>
    <w:link w:val="Heading6Char"/>
    <w:qFormat/>
    <w:rsid w:val="003D2510"/>
    <w:pPr>
      <w:spacing w:before="60"/>
      <w:outlineLvl w:val="5"/>
    </w:pPr>
    <w:rPr>
      <w:color w:val="918585"/>
      <w:sz w:val="20"/>
    </w:rPr>
  </w:style>
  <w:style w:type="paragraph" w:styleId="Heading7">
    <w:name w:val="heading 7"/>
    <w:basedOn w:val="Normal"/>
    <w:next w:val="Normal"/>
    <w:link w:val="Heading7Char"/>
    <w:qFormat/>
    <w:rsid w:val="003D2510"/>
    <w:pPr>
      <w:ind w:left="720"/>
      <w:outlineLvl w:val="6"/>
    </w:pPr>
    <w:rPr>
      <w:i/>
    </w:rPr>
  </w:style>
  <w:style w:type="paragraph" w:styleId="Heading8">
    <w:name w:val="heading 8"/>
    <w:basedOn w:val="Normal"/>
    <w:next w:val="Normal"/>
    <w:link w:val="Heading8Char"/>
    <w:qFormat/>
    <w:rsid w:val="003D2510"/>
    <w:pPr>
      <w:ind w:left="720"/>
      <w:outlineLvl w:val="7"/>
    </w:pPr>
    <w:rPr>
      <w:i/>
    </w:rPr>
  </w:style>
  <w:style w:type="paragraph" w:styleId="Heading9">
    <w:name w:val="heading 9"/>
    <w:basedOn w:val="Normal"/>
    <w:next w:val="Normal"/>
    <w:link w:val="Heading9Char"/>
    <w:qFormat/>
    <w:rsid w:val="003D2510"/>
    <w:pPr>
      <w:ind w:left="720"/>
      <w:outlineLvl w:val="8"/>
    </w:pPr>
    <w:rPr>
      <w:i/>
    </w:rPr>
  </w:style>
  <w:style w:type="character" w:default="1" w:styleId="DefaultParagraphFont">
    <w:name w:val="Default Paragraph Font"/>
    <w:uiPriority w:val="1"/>
    <w:unhideWhenUsed/>
    <w:rsid w:val="003D25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510"/>
  </w:style>
  <w:style w:type="character" w:customStyle="1" w:styleId="Heading1Char">
    <w:name w:val="Heading 1 Char"/>
    <w:basedOn w:val="DefaultParagraphFont"/>
    <w:link w:val="Heading1"/>
    <w:rsid w:val="003D251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D2510"/>
    <w:rPr>
      <w:rFonts w:ascii="Times New Roman" w:eastAsia="Times New Roman" w:hAnsi="Times New Roman" w:cs="Times New Roman"/>
      <w:b/>
      <w:szCs w:val="20"/>
      <w:lang w:eastAsia="en-US"/>
    </w:rPr>
  </w:style>
  <w:style w:type="paragraph" w:styleId="BodyText">
    <w:name w:val="Body Text"/>
    <w:basedOn w:val="Normal"/>
    <w:link w:val="BodyTextChar"/>
    <w:rsid w:val="003D25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2510"/>
    <w:rPr>
      <w:rFonts w:ascii="Times New Roman" w:eastAsia="Times New Roman" w:hAnsi="Times New Roman" w:cs="Times New Roman"/>
      <w:sz w:val="24"/>
      <w:lang w:eastAsia="en-US"/>
    </w:rPr>
  </w:style>
  <w:style w:type="paragraph" w:styleId="ListBullet">
    <w:name w:val="List Bullet"/>
    <w:basedOn w:val="List"/>
    <w:rsid w:val="003D2510"/>
    <w:pPr>
      <w:numPr>
        <w:numId w:val="12"/>
      </w:numPr>
      <w:tabs>
        <w:tab w:val="clear" w:pos="340"/>
      </w:tabs>
      <w:spacing w:before="40" w:after="40"/>
    </w:pPr>
  </w:style>
  <w:style w:type="paragraph" w:styleId="ListBullet2">
    <w:name w:val="List Bullet 2"/>
    <w:basedOn w:val="List2"/>
    <w:rsid w:val="003D2510"/>
    <w:pPr>
      <w:numPr>
        <w:numId w:val="13"/>
      </w:numPr>
      <w:tabs>
        <w:tab w:val="clear" w:pos="680"/>
      </w:tabs>
    </w:pPr>
  </w:style>
  <w:style w:type="paragraph" w:customStyle="1" w:styleId="SuperHeading">
    <w:name w:val="SuperHeading"/>
    <w:basedOn w:val="Normal"/>
    <w:rsid w:val="003D2510"/>
    <w:pPr>
      <w:spacing w:before="240" w:after="120"/>
      <w:outlineLvl w:val="0"/>
    </w:pPr>
    <w:rPr>
      <w:rFonts w:ascii="Times New Roman" w:hAnsi="Times New Roman"/>
      <w:b/>
      <w:sz w:val="32"/>
    </w:rPr>
  </w:style>
  <w:style w:type="paragraph" w:customStyle="1" w:styleId="AllowPageBreak">
    <w:name w:val="AllowPageBreak"/>
    <w:rsid w:val="003D25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25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51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D25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5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5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5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510"/>
    <w:rPr>
      <w:rFonts w:ascii="Courier New" w:eastAsia="Times New Roman" w:hAnsi="Courier New" w:cs="Times New Roman"/>
      <w:i/>
      <w:szCs w:val="20"/>
      <w:lang w:eastAsia="en-US"/>
    </w:rPr>
  </w:style>
  <w:style w:type="paragraph" w:customStyle="1" w:styleId="HeadingBase">
    <w:name w:val="Heading Base"/>
    <w:rsid w:val="003D25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510"/>
    <w:pPr>
      <w:tabs>
        <w:tab w:val="right" w:leader="dot" w:pos="9072"/>
      </w:tabs>
      <w:ind w:left="567"/>
    </w:pPr>
    <w:rPr>
      <w:szCs w:val="22"/>
    </w:rPr>
  </w:style>
  <w:style w:type="paragraph" w:customStyle="1" w:styleId="TOCBase">
    <w:name w:val="TOC Base"/>
    <w:rsid w:val="003D25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510"/>
    <w:pPr>
      <w:tabs>
        <w:tab w:val="right" w:leader="dot" w:pos="9072"/>
      </w:tabs>
      <w:spacing w:before="40" w:after="40"/>
      <w:ind w:left="284"/>
    </w:pPr>
    <w:rPr>
      <w:rFonts w:ascii="Times New Roman" w:hAnsi="Times New Roman"/>
    </w:rPr>
  </w:style>
  <w:style w:type="paragraph" w:styleId="TOC1">
    <w:name w:val="toc 1"/>
    <w:basedOn w:val="TOCBase"/>
    <w:next w:val="Normal"/>
    <w:rsid w:val="003D25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5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510"/>
    <w:rPr>
      <w:rFonts w:ascii="Times New Roman" w:eastAsia="Times New Roman" w:hAnsi="Times New Roman" w:cs="Times New Roman"/>
      <w:sz w:val="16"/>
      <w:lang w:eastAsia="en-US"/>
    </w:rPr>
  </w:style>
  <w:style w:type="paragraph" w:styleId="Title">
    <w:name w:val="Title"/>
    <w:basedOn w:val="HeadingBase"/>
    <w:link w:val="TitleChar"/>
    <w:qFormat/>
    <w:rsid w:val="003D2510"/>
    <w:pPr>
      <w:spacing w:before="5040"/>
      <w:jc w:val="center"/>
    </w:pPr>
    <w:rPr>
      <w:sz w:val="48"/>
      <w:szCs w:val="72"/>
      <w:lang w:val="en-US"/>
    </w:rPr>
  </w:style>
  <w:style w:type="character" w:customStyle="1" w:styleId="TitleChar">
    <w:name w:val="Title Char"/>
    <w:basedOn w:val="DefaultParagraphFont"/>
    <w:link w:val="Title"/>
    <w:rsid w:val="003D25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510"/>
    <w:pPr>
      <w:tabs>
        <w:tab w:val="left" w:pos="3600"/>
        <w:tab w:val="left" w:pos="3958"/>
      </w:tabs>
    </w:pPr>
  </w:style>
  <w:style w:type="paragraph" w:styleId="List">
    <w:name w:val="List"/>
    <w:basedOn w:val="BodyText"/>
    <w:next w:val="BodyText"/>
    <w:rsid w:val="003D2510"/>
    <w:pPr>
      <w:tabs>
        <w:tab w:val="left" w:pos="340"/>
      </w:tabs>
      <w:spacing w:before="60" w:after="60"/>
      <w:ind w:left="340" w:hanging="340"/>
    </w:pPr>
  </w:style>
  <w:style w:type="paragraph" w:customStyle="1" w:styleId="Note">
    <w:name w:val="Note"/>
    <w:basedOn w:val="BodyText"/>
    <w:rsid w:val="003D25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2510"/>
    <w:rPr>
      <w:b/>
      <w:spacing w:val="0"/>
    </w:rPr>
  </w:style>
  <w:style w:type="paragraph" w:customStyle="1" w:styleId="SuperTitle">
    <w:name w:val="SuperTitle"/>
    <w:basedOn w:val="Title"/>
    <w:rsid w:val="003D2510"/>
    <w:pPr>
      <w:framePr w:wrap="auto" w:hAnchor="text" w:y="6049"/>
    </w:pPr>
    <w:rPr>
      <w:color w:val="000000"/>
      <w:sz w:val="40"/>
    </w:rPr>
  </w:style>
  <w:style w:type="paragraph" w:customStyle="1" w:styleId="TOCTitle">
    <w:name w:val="TOCTitle"/>
    <w:basedOn w:val="Heading1"/>
    <w:rsid w:val="003D2510"/>
    <w:pPr>
      <w:spacing w:after="240"/>
      <w:jc w:val="center"/>
      <w:outlineLvl w:val="9"/>
    </w:pPr>
    <w:rPr>
      <w:caps/>
    </w:rPr>
  </w:style>
  <w:style w:type="paragraph" w:customStyle="1" w:styleId="Version">
    <w:name w:val="Version"/>
    <w:rsid w:val="003D25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2510"/>
    <w:pPr>
      <w:keepNext w:val="0"/>
      <w:tabs>
        <w:tab w:val="right" w:pos="4176"/>
      </w:tabs>
      <w:ind w:left="198" w:hanging="198"/>
    </w:pPr>
    <w:rPr>
      <w:rFonts w:ascii="Garamond" w:hAnsi="Garamond"/>
    </w:rPr>
  </w:style>
  <w:style w:type="paragraph" w:styleId="IndexHeading">
    <w:name w:val="index heading"/>
    <w:basedOn w:val="Normal"/>
    <w:next w:val="Index1"/>
    <w:semiHidden/>
    <w:rsid w:val="003D2510"/>
    <w:pPr>
      <w:spacing w:before="120" w:after="120"/>
    </w:pPr>
    <w:rPr>
      <w:rFonts w:ascii="Arial" w:hAnsi="Arial"/>
      <w:b/>
      <w:color w:val="918585"/>
      <w:sz w:val="24"/>
    </w:rPr>
  </w:style>
  <w:style w:type="paragraph" w:styleId="Header">
    <w:name w:val="header"/>
    <w:basedOn w:val="Normal"/>
    <w:link w:val="HeaderChar"/>
    <w:rsid w:val="003D25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510"/>
    <w:rPr>
      <w:rFonts w:ascii="Times New Roman" w:eastAsia="Times New Roman" w:hAnsi="Times New Roman" w:cs="Times New Roman"/>
      <w:sz w:val="16"/>
      <w:szCs w:val="20"/>
      <w:lang w:val="en-GB" w:eastAsia="en-US"/>
    </w:rPr>
  </w:style>
  <w:style w:type="paragraph" w:customStyle="1" w:styleId="Chapter">
    <w:name w:val="Chapter"/>
    <w:basedOn w:val="Normal"/>
    <w:rsid w:val="003D2510"/>
    <w:pPr>
      <w:spacing w:before="240"/>
    </w:pPr>
    <w:rPr>
      <w:rFonts w:ascii="Times New Roman" w:hAnsi="Times New Roman"/>
      <w:smallCaps/>
      <w:spacing w:val="80"/>
      <w:sz w:val="28"/>
    </w:rPr>
  </w:style>
  <w:style w:type="paragraph" w:customStyle="1" w:styleId="InChapter">
    <w:name w:val="InChapter"/>
    <w:basedOn w:val="Heading3"/>
    <w:rsid w:val="003D2510"/>
    <w:pPr>
      <w:spacing w:after="240"/>
      <w:outlineLvl w:val="9"/>
    </w:pPr>
    <w:rPr>
      <w:noProof/>
    </w:rPr>
  </w:style>
  <w:style w:type="paragraph" w:styleId="Index2">
    <w:name w:val="index 2"/>
    <w:basedOn w:val="Normal"/>
    <w:next w:val="Normal"/>
    <w:semiHidden/>
    <w:rsid w:val="003D2510"/>
    <w:pPr>
      <w:tabs>
        <w:tab w:val="right" w:pos="4176"/>
      </w:tabs>
      <w:ind w:left="568" w:hanging="284"/>
    </w:pPr>
    <w:rPr>
      <w:rFonts w:ascii="Garamond" w:hAnsi="Garamond"/>
    </w:rPr>
  </w:style>
  <w:style w:type="paragraph" w:customStyle="1" w:styleId="Byline">
    <w:name w:val="Byline"/>
    <w:rsid w:val="003D25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510"/>
    <w:pPr>
      <w:tabs>
        <w:tab w:val="clear" w:pos="3600"/>
        <w:tab w:val="clear" w:pos="3958"/>
      </w:tabs>
      <w:jc w:val="right"/>
    </w:pPr>
  </w:style>
  <w:style w:type="character" w:styleId="Emphasis">
    <w:name w:val="Emphasis"/>
    <w:basedOn w:val="DefaultParagraphFont"/>
    <w:qFormat/>
    <w:rsid w:val="003D2510"/>
    <w:rPr>
      <w:i/>
    </w:rPr>
  </w:style>
  <w:style w:type="paragraph" w:styleId="Caption">
    <w:name w:val="caption"/>
    <w:basedOn w:val="BodyText"/>
    <w:next w:val="Normal"/>
    <w:qFormat/>
    <w:rsid w:val="003D2510"/>
    <w:pPr>
      <w:framePr w:w="2268" w:hSpace="181" w:vSpace="181" w:wrap="around" w:vAnchor="text" w:hAnchor="page" w:x="1135" w:y="285" w:anchorLock="1"/>
    </w:pPr>
    <w:rPr>
      <w:i/>
    </w:rPr>
  </w:style>
  <w:style w:type="paragraph" w:customStyle="1" w:styleId="MiniTOCTitle">
    <w:name w:val="MiniTOCTitle"/>
    <w:basedOn w:val="Heading4"/>
    <w:rsid w:val="003D2510"/>
    <w:pPr>
      <w:spacing w:before="240"/>
      <w:outlineLvl w:val="9"/>
    </w:pPr>
    <w:rPr>
      <w:noProof/>
      <w:sz w:val="24"/>
    </w:rPr>
  </w:style>
  <w:style w:type="paragraph" w:customStyle="1" w:styleId="MiniTOCItem">
    <w:name w:val="MiniTOCItem"/>
    <w:basedOn w:val="ListBullet"/>
    <w:rsid w:val="003D2510"/>
    <w:pPr>
      <w:numPr>
        <w:numId w:val="0"/>
      </w:numPr>
      <w:tabs>
        <w:tab w:val="right" w:leader="dot" w:pos="6521"/>
      </w:tabs>
      <w:spacing w:before="0" w:after="0"/>
    </w:pPr>
  </w:style>
  <w:style w:type="paragraph" w:customStyle="1" w:styleId="TOFTitle">
    <w:name w:val="TOFTitle"/>
    <w:basedOn w:val="TOCTitle"/>
    <w:rsid w:val="003D2510"/>
  </w:style>
  <w:style w:type="paragraph" w:styleId="TableofFigures">
    <w:name w:val="table of figures"/>
    <w:basedOn w:val="Normal"/>
    <w:next w:val="Normal"/>
    <w:semiHidden/>
    <w:rsid w:val="003D2510"/>
    <w:pPr>
      <w:tabs>
        <w:tab w:val="right" w:leader="dot" w:pos="9072"/>
      </w:tabs>
      <w:ind w:left="970" w:hanging="403"/>
    </w:pPr>
    <w:rPr>
      <w:rFonts w:ascii="Times New Roman" w:hAnsi="Times New Roman"/>
      <w:b/>
    </w:rPr>
  </w:style>
  <w:style w:type="paragraph" w:styleId="ListNumber">
    <w:name w:val="List Number"/>
    <w:basedOn w:val="List"/>
    <w:rsid w:val="003D2510"/>
    <w:pPr>
      <w:numPr>
        <w:numId w:val="15"/>
      </w:numPr>
      <w:tabs>
        <w:tab w:val="clear" w:pos="340"/>
      </w:tabs>
    </w:pPr>
  </w:style>
  <w:style w:type="character" w:customStyle="1" w:styleId="WingdingSymbols">
    <w:name w:val="Wingding Symbols"/>
    <w:rsid w:val="003D2510"/>
    <w:rPr>
      <w:rFonts w:ascii="Wingdings" w:hAnsi="Wingdings"/>
    </w:rPr>
  </w:style>
  <w:style w:type="paragraph" w:customStyle="1" w:styleId="TableHeading">
    <w:name w:val="Table Heading"/>
    <w:basedOn w:val="HeadingBase"/>
    <w:rsid w:val="003D2510"/>
    <w:pPr>
      <w:keepLines/>
      <w:pBdr>
        <w:bottom w:val="single" w:sz="6" w:space="1" w:color="918585"/>
      </w:pBdr>
      <w:spacing w:before="240"/>
    </w:pPr>
  </w:style>
  <w:style w:type="character" w:customStyle="1" w:styleId="HotSpot">
    <w:name w:val="HotSpot"/>
    <w:rsid w:val="003D2510"/>
    <w:rPr>
      <w:color w:val="0033CC"/>
      <w:u w:val="none"/>
    </w:rPr>
  </w:style>
  <w:style w:type="paragraph" w:customStyle="1" w:styleId="BodyTextRight">
    <w:name w:val="Body Text Right"/>
    <w:basedOn w:val="BodyText"/>
    <w:rsid w:val="003D2510"/>
    <w:pPr>
      <w:spacing w:before="0" w:after="0"/>
      <w:jc w:val="right"/>
    </w:pPr>
  </w:style>
  <w:style w:type="paragraph" w:styleId="Index3">
    <w:name w:val="index 3"/>
    <w:basedOn w:val="ListNumber2"/>
    <w:next w:val="Normal"/>
    <w:semiHidden/>
    <w:rsid w:val="003D2510"/>
    <w:pPr>
      <w:numPr>
        <w:numId w:val="0"/>
      </w:numPr>
      <w:tabs>
        <w:tab w:val="right" w:leader="dot" w:pos="4176"/>
      </w:tabs>
    </w:pPr>
  </w:style>
  <w:style w:type="paragraph" w:styleId="ListNumber2">
    <w:name w:val="List Number 2"/>
    <w:basedOn w:val="List2"/>
    <w:rsid w:val="003D2510"/>
    <w:pPr>
      <w:numPr>
        <w:numId w:val="10"/>
      </w:numPr>
      <w:tabs>
        <w:tab w:val="clear" w:pos="1060"/>
      </w:tabs>
    </w:pPr>
  </w:style>
  <w:style w:type="paragraph" w:customStyle="1" w:styleId="MarginNote">
    <w:name w:val="Margin Note"/>
    <w:basedOn w:val="BodyText"/>
    <w:rsid w:val="003D25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5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5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510"/>
    <w:rPr>
      <w:sz w:val="32"/>
    </w:rPr>
  </w:style>
  <w:style w:type="paragraph" w:customStyle="1" w:styleId="HeadingProcedure">
    <w:name w:val="Heading Procedure"/>
    <w:basedOn w:val="HeadingBase"/>
    <w:next w:val="Normal"/>
    <w:rsid w:val="003D2510"/>
    <w:pPr>
      <w:tabs>
        <w:tab w:val="left" w:pos="0"/>
      </w:tabs>
      <w:spacing w:before="120" w:after="60"/>
    </w:pPr>
    <w:rPr>
      <w:i/>
      <w:color w:val="918585"/>
      <w:sz w:val="22"/>
    </w:rPr>
  </w:style>
  <w:style w:type="paragraph" w:customStyle="1" w:styleId="TableBodyText">
    <w:name w:val="Table Body Text"/>
    <w:basedOn w:val="BodyText"/>
    <w:rsid w:val="003D2510"/>
    <w:pPr>
      <w:spacing w:before="60" w:after="60"/>
    </w:pPr>
  </w:style>
  <w:style w:type="paragraph" w:styleId="ListContinue">
    <w:name w:val="List Continue"/>
    <w:basedOn w:val="List"/>
    <w:rsid w:val="003D2510"/>
    <w:pPr>
      <w:ind w:firstLine="0"/>
    </w:pPr>
  </w:style>
  <w:style w:type="paragraph" w:customStyle="1" w:styleId="ListNote">
    <w:name w:val="List Note"/>
    <w:basedOn w:val="List"/>
    <w:rsid w:val="003D2510"/>
    <w:pPr>
      <w:pBdr>
        <w:top w:val="single" w:sz="6" w:space="2" w:color="918585"/>
        <w:bottom w:val="single" w:sz="6" w:space="2" w:color="918585"/>
      </w:pBdr>
      <w:tabs>
        <w:tab w:val="left" w:pos="1021"/>
      </w:tabs>
      <w:ind w:firstLine="0"/>
    </w:pPr>
  </w:style>
  <w:style w:type="paragraph" w:customStyle="1" w:styleId="Warning">
    <w:name w:val="Warning"/>
    <w:basedOn w:val="BodyText"/>
    <w:rsid w:val="003D2510"/>
    <w:pPr>
      <w:shd w:val="clear" w:color="auto" w:fill="D9D9D9"/>
      <w:tabs>
        <w:tab w:val="left" w:pos="992"/>
      </w:tabs>
      <w:ind w:left="119" w:right="119"/>
    </w:pPr>
    <w:rPr>
      <w:sz w:val="20"/>
    </w:rPr>
  </w:style>
  <w:style w:type="paragraph" w:customStyle="1" w:styleId="MarginIcons">
    <w:name w:val="Margin Icons"/>
    <w:basedOn w:val="BodyText"/>
    <w:rsid w:val="003D25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510"/>
    <w:rPr>
      <w:rFonts w:ascii="Courier New" w:hAnsi="Courier New"/>
    </w:rPr>
  </w:style>
  <w:style w:type="paragraph" w:customStyle="1" w:styleId="NoteBullet">
    <w:name w:val="Note Bullet"/>
    <w:basedOn w:val="Note"/>
    <w:rsid w:val="003D2510"/>
    <w:pPr>
      <w:tabs>
        <w:tab w:val="clear" w:pos="680"/>
      </w:tabs>
      <w:spacing w:before="60" w:after="60"/>
    </w:pPr>
  </w:style>
  <w:style w:type="paragraph" w:customStyle="1" w:styleId="SubHeading2">
    <w:name w:val="SubHeading2"/>
    <w:basedOn w:val="HeadingBase"/>
    <w:rsid w:val="003D2510"/>
    <w:pPr>
      <w:spacing w:before="240" w:after="60"/>
    </w:pPr>
    <w:rPr>
      <w:sz w:val="20"/>
    </w:rPr>
  </w:style>
  <w:style w:type="paragraph" w:customStyle="1" w:styleId="SubHeading1">
    <w:name w:val="SubHeading1"/>
    <w:basedOn w:val="HeadingBase"/>
    <w:rsid w:val="003D2510"/>
    <w:pPr>
      <w:spacing w:before="240" w:after="60"/>
    </w:pPr>
    <w:rPr>
      <w:color w:val="918585"/>
      <w:sz w:val="22"/>
    </w:rPr>
  </w:style>
  <w:style w:type="paragraph" w:customStyle="1" w:styleId="SideHeading">
    <w:name w:val="Side Heading"/>
    <w:basedOn w:val="HeadingBase"/>
    <w:rsid w:val="003D25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510"/>
    <w:pPr>
      <w:tabs>
        <w:tab w:val="num" w:pos="360"/>
      </w:tabs>
    </w:pPr>
  </w:style>
  <w:style w:type="paragraph" w:styleId="PlainText">
    <w:name w:val="Plain Text"/>
    <w:basedOn w:val="Normal"/>
    <w:link w:val="PlainTextChar"/>
    <w:rsid w:val="003D2510"/>
    <w:rPr>
      <w:sz w:val="20"/>
    </w:rPr>
  </w:style>
  <w:style w:type="character" w:customStyle="1" w:styleId="PlainTextChar">
    <w:name w:val="Plain Text Char"/>
    <w:basedOn w:val="DefaultParagraphFont"/>
    <w:link w:val="PlainText"/>
    <w:rsid w:val="003D2510"/>
    <w:rPr>
      <w:rFonts w:ascii="Courier New" w:eastAsia="Times New Roman" w:hAnsi="Courier New" w:cs="Times New Roman"/>
      <w:sz w:val="20"/>
      <w:szCs w:val="20"/>
      <w:lang w:eastAsia="en-US"/>
    </w:rPr>
  </w:style>
  <w:style w:type="character" w:customStyle="1" w:styleId="MenuOption">
    <w:name w:val="Menu Option"/>
    <w:basedOn w:val="DefaultParagraphFont"/>
    <w:rsid w:val="003D2510"/>
    <w:rPr>
      <w:b/>
      <w:smallCaps/>
    </w:rPr>
  </w:style>
  <w:style w:type="paragraph" w:customStyle="1" w:styleId="TableListNumber">
    <w:name w:val="Table List Number"/>
    <w:basedOn w:val="ListNumber"/>
    <w:rsid w:val="003D2510"/>
    <w:pPr>
      <w:numPr>
        <w:numId w:val="0"/>
      </w:numPr>
    </w:pPr>
  </w:style>
  <w:style w:type="paragraph" w:styleId="TOC4">
    <w:name w:val="toc 4"/>
    <w:basedOn w:val="TOCBase"/>
    <w:next w:val="Normal"/>
    <w:semiHidden/>
    <w:rsid w:val="003D2510"/>
    <w:pPr>
      <w:tabs>
        <w:tab w:val="right" w:leader="dot" w:pos="9071"/>
      </w:tabs>
      <w:ind w:left="1701"/>
    </w:pPr>
  </w:style>
  <w:style w:type="paragraph" w:customStyle="1" w:styleId="ListAlpha">
    <w:name w:val="List Alpha"/>
    <w:basedOn w:val="List"/>
    <w:rsid w:val="003D2510"/>
    <w:pPr>
      <w:numPr>
        <w:numId w:val="9"/>
      </w:numPr>
    </w:pPr>
  </w:style>
  <w:style w:type="paragraph" w:customStyle="1" w:styleId="ListAlpha2">
    <w:name w:val="List Alpha 2"/>
    <w:basedOn w:val="List2"/>
    <w:rsid w:val="003D2510"/>
    <w:pPr>
      <w:numPr>
        <w:numId w:val="8"/>
      </w:numPr>
    </w:pPr>
  </w:style>
  <w:style w:type="paragraph" w:styleId="List2">
    <w:name w:val="List 2"/>
    <w:basedOn w:val="BodyText"/>
    <w:rsid w:val="003D2510"/>
    <w:pPr>
      <w:tabs>
        <w:tab w:val="left" w:pos="680"/>
      </w:tabs>
      <w:spacing w:before="60" w:after="60"/>
      <w:ind w:left="680" w:hanging="340"/>
    </w:pPr>
  </w:style>
  <w:style w:type="paragraph" w:styleId="List3">
    <w:name w:val="List 3"/>
    <w:basedOn w:val="BodyText"/>
    <w:rsid w:val="003D2510"/>
    <w:pPr>
      <w:tabs>
        <w:tab w:val="left" w:pos="1021"/>
      </w:tabs>
      <w:spacing w:before="60" w:after="60"/>
      <w:ind w:left="1020" w:hanging="340"/>
    </w:pPr>
  </w:style>
  <w:style w:type="paragraph" w:styleId="List4">
    <w:name w:val="List 4"/>
    <w:basedOn w:val="BodyText"/>
    <w:rsid w:val="003D2510"/>
    <w:pPr>
      <w:tabs>
        <w:tab w:val="left" w:pos="1361"/>
      </w:tabs>
      <w:spacing w:before="60" w:after="60"/>
      <w:ind w:left="1361" w:hanging="340"/>
    </w:pPr>
  </w:style>
  <w:style w:type="paragraph" w:styleId="List5">
    <w:name w:val="List 5"/>
    <w:basedOn w:val="BodyText"/>
    <w:rsid w:val="003D2510"/>
    <w:pPr>
      <w:tabs>
        <w:tab w:val="left" w:pos="1701"/>
      </w:tabs>
      <w:spacing w:before="60" w:after="60"/>
      <w:ind w:left="1701" w:hanging="340"/>
    </w:pPr>
  </w:style>
  <w:style w:type="paragraph" w:styleId="ListBullet3">
    <w:name w:val="List Bullet 3"/>
    <w:basedOn w:val="List3"/>
    <w:rsid w:val="003D2510"/>
    <w:pPr>
      <w:numPr>
        <w:numId w:val="14"/>
      </w:numPr>
      <w:tabs>
        <w:tab w:val="clear" w:pos="1021"/>
      </w:tabs>
      <w:ind w:left="1037" w:hanging="357"/>
    </w:pPr>
  </w:style>
  <w:style w:type="paragraph" w:styleId="ListBullet4">
    <w:name w:val="List Bullet 4"/>
    <w:basedOn w:val="List4"/>
    <w:rsid w:val="003D2510"/>
    <w:pPr>
      <w:numPr>
        <w:numId w:val="3"/>
      </w:numPr>
      <w:tabs>
        <w:tab w:val="clear" w:pos="1361"/>
      </w:tabs>
    </w:pPr>
  </w:style>
  <w:style w:type="paragraph" w:styleId="ListBullet5">
    <w:name w:val="List Bullet 5"/>
    <w:basedOn w:val="List5"/>
    <w:rsid w:val="003D2510"/>
    <w:pPr>
      <w:numPr>
        <w:numId w:val="4"/>
      </w:numPr>
    </w:pPr>
  </w:style>
  <w:style w:type="paragraph" w:styleId="ListContinue2">
    <w:name w:val="List Continue 2"/>
    <w:basedOn w:val="List2"/>
    <w:rsid w:val="003D2510"/>
    <w:pPr>
      <w:ind w:firstLine="0"/>
    </w:pPr>
  </w:style>
  <w:style w:type="paragraph" w:styleId="ListContinue3">
    <w:name w:val="List Continue 3"/>
    <w:basedOn w:val="List3"/>
    <w:rsid w:val="003D2510"/>
    <w:pPr>
      <w:ind w:left="1021" w:firstLine="0"/>
    </w:pPr>
  </w:style>
  <w:style w:type="paragraph" w:styleId="ListContinue4">
    <w:name w:val="List Continue 4"/>
    <w:basedOn w:val="List4"/>
    <w:rsid w:val="003D2510"/>
    <w:pPr>
      <w:ind w:firstLine="0"/>
    </w:pPr>
  </w:style>
  <w:style w:type="paragraph" w:styleId="ListContinue5">
    <w:name w:val="List Continue 5"/>
    <w:basedOn w:val="List5"/>
    <w:rsid w:val="003D2510"/>
    <w:pPr>
      <w:ind w:firstLine="0"/>
    </w:pPr>
  </w:style>
  <w:style w:type="paragraph" w:styleId="ListNumber3">
    <w:name w:val="List Number 3"/>
    <w:basedOn w:val="List3"/>
    <w:rsid w:val="003D2510"/>
    <w:pPr>
      <w:numPr>
        <w:numId w:val="5"/>
      </w:numPr>
    </w:pPr>
  </w:style>
  <w:style w:type="paragraph" w:styleId="ListNumber4">
    <w:name w:val="List Number 4"/>
    <w:basedOn w:val="List4"/>
    <w:rsid w:val="003D2510"/>
    <w:pPr>
      <w:numPr>
        <w:numId w:val="6"/>
      </w:numPr>
    </w:pPr>
  </w:style>
  <w:style w:type="paragraph" w:styleId="ListNumber5">
    <w:name w:val="List Number 5"/>
    <w:basedOn w:val="List5"/>
    <w:rsid w:val="003D2510"/>
    <w:pPr>
      <w:numPr>
        <w:numId w:val="7"/>
      </w:numPr>
    </w:pPr>
  </w:style>
  <w:style w:type="paragraph" w:styleId="BlockText">
    <w:name w:val="Block Text"/>
    <w:basedOn w:val="Normal"/>
    <w:rsid w:val="003D2510"/>
    <w:pPr>
      <w:spacing w:after="120"/>
      <w:ind w:left="1440" w:right="1440"/>
    </w:pPr>
  </w:style>
  <w:style w:type="character" w:customStyle="1" w:styleId="Subscript">
    <w:name w:val="Subscript"/>
    <w:basedOn w:val="DefaultParagraphFont"/>
    <w:rsid w:val="003D2510"/>
    <w:rPr>
      <w:sz w:val="16"/>
      <w:vertAlign w:val="subscript"/>
    </w:rPr>
  </w:style>
  <w:style w:type="character" w:customStyle="1" w:styleId="Superscript">
    <w:name w:val="Superscript"/>
    <w:basedOn w:val="DefaultParagraphFont"/>
    <w:rsid w:val="003D2510"/>
    <w:rPr>
      <w:sz w:val="16"/>
      <w:vertAlign w:val="superscript"/>
    </w:rPr>
  </w:style>
  <w:style w:type="character" w:customStyle="1" w:styleId="Symbols">
    <w:name w:val="Symbols"/>
    <w:basedOn w:val="DefaultParagraphFont"/>
    <w:rsid w:val="003D2510"/>
    <w:rPr>
      <w:rFonts w:ascii="Symbol" w:hAnsi="Symbol"/>
    </w:rPr>
  </w:style>
  <w:style w:type="character" w:customStyle="1" w:styleId="MenuOptions">
    <w:name w:val="Menu Options"/>
    <w:basedOn w:val="DefaultParagraphFont"/>
    <w:rsid w:val="003D2510"/>
    <w:rPr>
      <w:rFonts w:ascii="Arial Narrow" w:hAnsi="Arial Narrow"/>
      <w:smallCaps/>
    </w:rPr>
  </w:style>
  <w:style w:type="character" w:customStyle="1" w:styleId="Buttons">
    <w:name w:val="Buttons"/>
    <w:basedOn w:val="DefaultParagraphFont"/>
    <w:rsid w:val="003D2510"/>
    <w:rPr>
      <w:b/>
    </w:rPr>
  </w:style>
  <w:style w:type="character" w:customStyle="1" w:styleId="Underlined">
    <w:name w:val="Underlined"/>
    <w:basedOn w:val="DefaultParagraphFont"/>
    <w:rsid w:val="003D2510"/>
    <w:rPr>
      <w:u w:val="single"/>
    </w:rPr>
  </w:style>
  <w:style w:type="paragraph" w:customStyle="1" w:styleId="TableBodyTextRight">
    <w:name w:val="Table Body Text Right"/>
    <w:basedOn w:val="TableBodyText"/>
    <w:rsid w:val="003D2510"/>
    <w:pPr>
      <w:widowControl w:val="0"/>
      <w:autoSpaceDE w:val="0"/>
      <w:autoSpaceDN w:val="0"/>
      <w:adjustRightInd w:val="0"/>
      <w:jc w:val="right"/>
    </w:pPr>
    <w:rPr>
      <w:rFonts w:cs="Arial"/>
      <w:szCs w:val="18"/>
    </w:rPr>
  </w:style>
  <w:style w:type="paragraph" w:customStyle="1" w:styleId="CopyrightText">
    <w:name w:val="Copyright Text"/>
    <w:basedOn w:val="BodyText"/>
    <w:rsid w:val="003D2510"/>
    <w:rPr>
      <w:sz w:val="18"/>
    </w:rPr>
  </w:style>
  <w:style w:type="paragraph" w:customStyle="1" w:styleId="BodySmallRight">
    <w:name w:val="Body Small Right"/>
    <w:basedOn w:val="BodyTextRight"/>
    <w:rsid w:val="003D2510"/>
    <w:rPr>
      <w:sz w:val="18"/>
      <w:szCs w:val="18"/>
    </w:rPr>
  </w:style>
  <w:style w:type="paragraph" w:customStyle="1" w:styleId="MarginEdition">
    <w:name w:val="Margin Edition"/>
    <w:basedOn w:val="MarginNote"/>
    <w:rsid w:val="003D2510"/>
    <w:pPr>
      <w:spacing w:before="0" w:after="0"/>
    </w:pPr>
    <w:rPr>
      <w:rFonts w:ascii="Times New Roman" w:hAnsi="Times New Roman"/>
      <w:color w:val="999999"/>
    </w:rPr>
  </w:style>
  <w:style w:type="paragraph" w:customStyle="1" w:styleId="Spacer">
    <w:name w:val="Spacer"/>
    <w:basedOn w:val="Normal"/>
    <w:rsid w:val="003D2510"/>
    <w:rPr>
      <w:sz w:val="2"/>
      <w:szCs w:val="2"/>
    </w:rPr>
  </w:style>
  <w:style w:type="character" w:customStyle="1" w:styleId="Small">
    <w:name w:val="Small"/>
    <w:basedOn w:val="DefaultParagraphFont"/>
    <w:rsid w:val="003D2510"/>
    <w:rPr>
      <w:sz w:val="16"/>
    </w:rPr>
  </w:style>
  <w:style w:type="paragraph" w:customStyle="1" w:styleId="WideTable">
    <w:name w:val="Wide Table"/>
    <w:basedOn w:val="Normal"/>
    <w:rsid w:val="003D2510"/>
    <w:pPr>
      <w:ind w:left="-1418"/>
    </w:pPr>
    <w:rPr>
      <w:sz w:val="2"/>
      <w:szCs w:val="2"/>
    </w:rPr>
  </w:style>
  <w:style w:type="character" w:styleId="PageNumber">
    <w:name w:val="page number"/>
    <w:basedOn w:val="DefaultParagraphFont"/>
    <w:rsid w:val="003D2510"/>
  </w:style>
  <w:style w:type="paragraph" w:styleId="Quote">
    <w:name w:val="Quote"/>
    <w:basedOn w:val="Heading1"/>
    <w:link w:val="QuoteChar"/>
    <w:qFormat/>
    <w:rsid w:val="003D2510"/>
    <w:rPr>
      <w:b w:val="0"/>
      <w:sz w:val="72"/>
      <w:szCs w:val="72"/>
      <w:lang w:val="en-NZ"/>
    </w:rPr>
  </w:style>
  <w:style w:type="character" w:customStyle="1" w:styleId="QuoteChar">
    <w:name w:val="Quote Char"/>
    <w:basedOn w:val="DefaultParagraphFont"/>
    <w:link w:val="Quote"/>
    <w:rsid w:val="003D25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510"/>
    <w:pPr>
      <w:pageBreakBefore/>
    </w:pPr>
  </w:style>
  <w:style w:type="paragraph" w:customStyle="1" w:styleId="Border">
    <w:name w:val="Border"/>
    <w:basedOn w:val="Normal"/>
    <w:qFormat/>
    <w:rsid w:val="003D25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510"/>
    <w:rPr>
      <w:b/>
      <w:bCs/>
      <w:i/>
      <w:iCs/>
      <w:color w:val="auto"/>
    </w:rPr>
  </w:style>
  <w:style w:type="paragraph" w:styleId="IntenseQuote">
    <w:name w:val="Intense Quote"/>
    <w:basedOn w:val="Normal"/>
    <w:next w:val="Normal"/>
    <w:link w:val="IntenseQuoteChar"/>
    <w:uiPriority w:val="30"/>
    <w:qFormat/>
    <w:rsid w:val="003D25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5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510"/>
    <w:rPr>
      <w:smallCaps/>
      <w:color w:val="auto"/>
      <w:u w:val="single"/>
    </w:rPr>
  </w:style>
  <w:style w:type="character" w:styleId="IntenseReference">
    <w:name w:val="Intense Reference"/>
    <w:basedOn w:val="DefaultParagraphFont"/>
    <w:uiPriority w:val="32"/>
    <w:qFormat/>
    <w:rsid w:val="003D2510"/>
    <w:rPr>
      <w:b/>
      <w:bCs/>
      <w:smallCaps/>
      <w:color w:val="auto"/>
      <w:spacing w:val="5"/>
      <w:u w:val="single"/>
    </w:rPr>
  </w:style>
  <w:style w:type="paragraph" w:customStyle="1" w:styleId="2ColumnHeading">
    <w:name w:val="2Column Heading"/>
    <w:basedOn w:val="BodyText"/>
    <w:qFormat/>
    <w:rsid w:val="003D2510"/>
    <w:pPr>
      <w:spacing w:after="60"/>
      <w:ind w:left="-2268"/>
    </w:pPr>
    <w:rPr>
      <w:b/>
    </w:rPr>
  </w:style>
  <w:style w:type="paragraph" w:customStyle="1" w:styleId="Heading1TOC">
    <w:name w:val="Heading1 TOC"/>
    <w:basedOn w:val="Normal"/>
    <w:qFormat/>
    <w:rsid w:val="003D2510"/>
    <w:pPr>
      <w:spacing w:before="240" w:after="120"/>
    </w:pPr>
    <w:rPr>
      <w:rFonts w:ascii="Times New Roman" w:hAnsi="Times New Roman"/>
      <w:b/>
      <w:sz w:val="32"/>
    </w:rPr>
  </w:style>
  <w:style w:type="paragraph" w:customStyle="1" w:styleId="Heading2TOC">
    <w:name w:val="Heading2 TOC"/>
    <w:basedOn w:val="Normal"/>
    <w:qFormat/>
    <w:rsid w:val="003D2510"/>
    <w:pPr>
      <w:spacing w:before="240" w:after="60"/>
    </w:pPr>
    <w:rPr>
      <w:rFonts w:ascii="Times New Roman" w:hAnsi="Times New Roman"/>
      <w:b/>
      <w:sz w:val="28"/>
    </w:rPr>
  </w:style>
  <w:style w:type="character" w:customStyle="1" w:styleId="Underline">
    <w:name w:val="Underline"/>
    <w:basedOn w:val="DefaultParagraphFont"/>
    <w:qFormat/>
    <w:rsid w:val="003D2510"/>
    <w:rPr>
      <w:u w:val="single"/>
    </w:rPr>
  </w:style>
  <w:style w:type="character" w:customStyle="1" w:styleId="BoldandItalics">
    <w:name w:val="Bold and Italics"/>
    <w:qFormat/>
    <w:rsid w:val="003D2510"/>
    <w:rPr>
      <w:b/>
      <w:i/>
      <w:u w:val="none"/>
    </w:rPr>
  </w:style>
  <w:style w:type="paragraph" w:styleId="BalloonText">
    <w:name w:val="Balloon Text"/>
    <w:basedOn w:val="Normal"/>
    <w:link w:val="BalloonTextChar"/>
    <w:rsid w:val="003D2510"/>
    <w:rPr>
      <w:rFonts w:ascii="Tahoma" w:hAnsi="Tahoma" w:cs="Tahoma"/>
      <w:sz w:val="16"/>
      <w:szCs w:val="16"/>
    </w:rPr>
  </w:style>
  <w:style w:type="character" w:customStyle="1" w:styleId="BalloonTextChar">
    <w:name w:val="Balloon Text Char"/>
    <w:basedOn w:val="DefaultParagraphFont"/>
    <w:link w:val="BalloonText"/>
    <w:rsid w:val="003D25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5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25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510"/>
    <w:rPr>
      <w:b/>
      <w:color w:val="660033"/>
      <w:spacing w:val="0"/>
    </w:rPr>
  </w:style>
  <w:style w:type="paragraph" w:customStyle="1" w:styleId="Nameditemlist">
    <w:name w:val="Named item list"/>
    <w:basedOn w:val="BodyText"/>
    <w:qFormat/>
    <w:rsid w:val="003D2510"/>
    <w:pPr>
      <w:tabs>
        <w:tab w:val="left" w:pos="2835"/>
      </w:tabs>
      <w:ind w:left="2835" w:hanging="2835"/>
    </w:pPr>
  </w:style>
  <w:style w:type="paragraph" w:customStyle="1" w:styleId="BodyTextnopadding">
    <w:name w:val="Body Text no padding"/>
    <w:basedOn w:val="BodyText"/>
    <w:qFormat/>
    <w:rsid w:val="003D2510"/>
    <w:pPr>
      <w:spacing w:before="0" w:after="0"/>
    </w:pPr>
  </w:style>
  <w:style w:type="paragraph" w:customStyle="1" w:styleId="BodyTextBold">
    <w:name w:val="Body Text Bold"/>
    <w:basedOn w:val="BodyText"/>
    <w:qFormat/>
    <w:rsid w:val="003D2510"/>
    <w:rPr>
      <w:b/>
    </w:rPr>
  </w:style>
  <w:style w:type="character" w:styleId="Hyperlink">
    <w:name w:val="Hyperlink"/>
    <w:basedOn w:val="DefaultParagraphFont"/>
    <w:uiPriority w:val="99"/>
    <w:unhideWhenUsed/>
    <w:rsid w:val="000453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937</Words>
  <Characters>6309</Characters>
  <Application>Microsoft Office Word</Application>
  <DocSecurity>0</DocSecurity>
  <Lines>157</Lines>
  <Paragraphs>108</Paragraphs>
  <ScaleCrop>false</ScaleCrop>
  <Company>Author-it Software Corporation Ltd.</Company>
  <LinksUpToDate>false</LinksUpToDate>
  <CharactersWithSpaces>7138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RIIMPG301D Control and monitor automated plant/machinery</dc:title>
  <dc:subject>Approved</dc:subject>
  <dc:creator>PwC’s Skills for Australia</dc:creator>
  <cp:keywords>Release: 2</cp:keywords>
  <dc:description>Review Date: 12 April 2008</dc:description>
  <cp:lastModifiedBy>HSD_TPCMSd.prod</cp:lastModifiedBy>
  <cp:revision>3</cp:revision>
  <dcterms:created xsi:type="dcterms:W3CDTF">2022-10-18T14:58:00Z</dcterms:created>
  <dcterms:modified xsi:type="dcterms:W3CDTF">2022-10-18T14:58:00Z</dcterms:modified>
</cp:coreProperties>
</file>