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5F3" w:rsidP="00AE05F3">
      <w:pPr>
        <w:pStyle w:val="Title"/>
      </w:pPr>
      <w:r>
        <w:fldChar w:fldCharType="begin"/>
      </w:r>
      <w:r>
        <w:instrText xml:space="preserve"> TITLE   \* MERGEFORMAT </w:instrText>
      </w:r>
      <w:r>
        <w:fldChar w:fldCharType="separate"/>
      </w:r>
      <w:r>
        <w:t>Assessment Requirements for RIIMPG201D Connect and disconnect reefer refrigeration units</w:t>
      </w:r>
      <w:r>
        <w:fldChar w:fldCharType="end"/>
      </w:r>
    </w:p>
    <w:p w:rsidR="00AE05F3" w:rsidP="00AE05F3">
      <w:pPr>
        <w:pStyle w:val="Version"/>
        <w:sectPr w:rsidSect="00315B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15B5B" w:rsidP="00315B5B">
      <w:pPr>
        <w:pStyle w:val="SuperHeading"/>
      </w:pPr>
      <w:r w:rsidRPr="00315B5B">
        <w:t>Assessment Requirements for RIIMPG201D Connect and disconnect reefer refrigeration units</w:t>
      </w:r>
    </w:p>
    <w:p w:rsidR="00000000" w:rsidRPr="00315B5B" w:rsidP="00315B5B">
      <w:pPr>
        <w:pStyle w:val="Heading1"/>
      </w:pPr>
      <w:bookmarkStart w:id="1" w:name="O_690453"/>
      <w:bookmarkEnd w:id="1"/>
      <w:r w:rsidRPr="00315B5B">
        <w:t>Modification History</w:t>
      </w:r>
    </w:p>
    <w:tbl>
      <w:tblPr>
        <w:tblW w:w="9270" w:type="dxa"/>
        <w:tblLayout w:type="fixed"/>
        <w:tblCellMar>
          <w:left w:w="62" w:type="dxa"/>
          <w:right w:w="62" w:type="dxa"/>
        </w:tblCellMar>
        <w:tblLook w:val="0000"/>
      </w:tblPr>
      <w:tblGrid>
        <w:gridCol w:w="1170"/>
        <w:gridCol w:w="8100"/>
      </w:tblGrid>
      <w:tr w:rsidTr="00AE05F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B5B">
            <w:pPr>
              <w:pStyle w:val="Heading4"/>
              <w:rPr>
                <w:lang w:val="en-NZ"/>
              </w:rPr>
            </w:pPr>
            <w:r w:rsidRPr="00315B5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B5B">
            <w:pPr>
              <w:pStyle w:val="Heading4"/>
              <w:rPr>
                <w:lang w:val="en-NZ"/>
              </w:rPr>
            </w:pPr>
            <w:r w:rsidRPr="00315B5B">
              <w:t>Comment</w:t>
            </w:r>
          </w:p>
        </w:tc>
      </w:tr>
      <w:tr w:rsidTr="00AE05F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B5B">
            <w:pPr>
              <w:pStyle w:val="BodyText"/>
              <w:rPr>
                <w:lang w:val="en-NZ"/>
              </w:rPr>
            </w:pPr>
            <w:r w:rsidRPr="00315B5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B5B">
            <w:pPr>
              <w:pStyle w:val="BodyText"/>
              <w:rPr>
                <w:lang w:val="en-NZ"/>
              </w:rPr>
            </w:pPr>
            <w:r w:rsidRPr="00315B5B">
              <w:t>This unit replaces RIIMPG201A Connect and disconnect reefer refrigeration units</w:t>
            </w:r>
          </w:p>
        </w:tc>
      </w:tr>
      <w:tr w:rsidTr="00AE05F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B5B">
            <w:pPr>
              <w:pStyle w:val="BodyText"/>
              <w:rPr>
                <w:lang w:val="en-NZ"/>
              </w:rPr>
            </w:pPr>
            <w:r w:rsidRPr="00315B5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B5B">
            <w:pPr>
              <w:pStyle w:val="BodyText"/>
              <w:rPr>
                <w:lang w:val="en-NZ"/>
              </w:rPr>
            </w:pPr>
            <w:r w:rsidRPr="00315B5B">
              <w:t>Performance Criteria amended to include Plan and Prepare element; requirements made more explicit; inserted modification history</w:t>
            </w:r>
          </w:p>
        </w:tc>
      </w:tr>
      <w:tr w:rsidTr="00AE05F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B5B">
            <w:pPr>
              <w:pStyle w:val="BodyText"/>
              <w:rPr>
                <w:lang w:val="en-NZ"/>
              </w:rPr>
            </w:pPr>
            <w:r w:rsidRPr="00315B5B">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B5B" w:rsidP="00315B5B">
            <w:pPr>
              <w:pStyle w:val="BodyText"/>
            </w:pPr>
            <w:r w:rsidRPr="00315B5B">
              <w:t>Required frequency and volume of evidence amended in Performance evidence.</w:t>
            </w:r>
            <w:r w:rsidRPr="00315B5B">
              <w:br/>
              <w:t>Substantial amendments made in Assessment Conditi</w:t>
            </w:r>
            <w:r w:rsidRPr="00315B5B">
              <w:t>ons field, including: references to Industry Sectors, assessor and subject matter expert experience requirements, how assessment should be conducted and what it should confirm.</w:t>
            </w:r>
          </w:p>
        </w:tc>
      </w:tr>
    </w:tbl>
    <w:p w:rsidR="00000000" w:rsidRPr="00315B5B" w:rsidP="00315B5B">
      <w:pPr>
        <w:pStyle w:val="BodyText"/>
      </w:pPr>
    </w:p>
    <w:p w:rsidR="00000000" w:rsidRPr="00315B5B" w:rsidP="00315B5B">
      <w:pPr>
        <w:pStyle w:val="AllowPageBreak"/>
      </w:pPr>
    </w:p>
    <w:p w:rsidR="00000000" w:rsidRPr="00315B5B" w:rsidP="00315B5B">
      <w:pPr>
        <w:pStyle w:val="Heading1"/>
      </w:pPr>
      <w:bookmarkStart w:id="2" w:name="O_690452"/>
      <w:bookmarkEnd w:id="2"/>
      <w:r w:rsidRPr="00315B5B">
        <w:t>Performance Evidence</w:t>
      </w:r>
    </w:p>
    <w:p w:rsidR="00000000" w:rsidRPr="00315B5B" w:rsidP="00AE05F3">
      <w:pPr>
        <w:pStyle w:val="BodyText"/>
      </w:pPr>
      <w:r w:rsidRPr="00315B5B">
        <w:t>Evidence is required to be collected th</w:t>
      </w:r>
      <w:r w:rsidRPr="00315B5B">
        <w:t>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315B5B" w:rsidP="00315B5B">
      <w:pPr>
        <w:pStyle w:val="ListBullet"/>
      </w:pPr>
      <w:r w:rsidRPr="00315B5B">
        <w:t>locate</w:t>
      </w:r>
      <w:r w:rsidRPr="00315B5B">
        <w:t>s and applies applicable documentation, policies and procedures</w:t>
      </w:r>
    </w:p>
    <w:p w:rsidR="00000000" w:rsidRPr="00315B5B" w:rsidP="00315B5B">
      <w:pPr>
        <w:pStyle w:val="ListBullet"/>
      </w:pPr>
      <w:r w:rsidRPr="00315B5B">
        <w:t>implements requirements, procedures and techniques for the safe, effective connection and disconnection of reefer refrigeration units including:</w:t>
      </w:r>
    </w:p>
    <w:p w:rsidR="00000000" w:rsidRPr="00315B5B" w:rsidP="00315B5B">
      <w:pPr>
        <w:pStyle w:val="ListBullet2"/>
      </w:pPr>
      <w:r w:rsidRPr="00315B5B">
        <w:t>applying, organisation and site requirements and procedures</w:t>
      </w:r>
    </w:p>
    <w:p w:rsidR="00000000" w:rsidRPr="00315B5B" w:rsidP="00315B5B">
      <w:pPr>
        <w:pStyle w:val="ListBullet2"/>
      </w:pPr>
      <w:r w:rsidRPr="00315B5B">
        <w:t>establishing work plans</w:t>
      </w:r>
    </w:p>
    <w:p w:rsidR="00000000" w:rsidRPr="00315B5B" w:rsidP="00315B5B">
      <w:pPr>
        <w:pStyle w:val="ListBullet2"/>
      </w:pPr>
      <w:r w:rsidRPr="00315B5B">
        <w:t>assessing operational capability and limitation of equipment used</w:t>
      </w:r>
    </w:p>
    <w:p w:rsidR="00000000" w:rsidRPr="00315B5B" w:rsidP="00315B5B">
      <w:pPr>
        <w:pStyle w:val="ListBullet2"/>
      </w:pPr>
      <w:r w:rsidRPr="00315B5B">
        <w:t>assessing capability and limitation of work processes selected</w:t>
      </w:r>
    </w:p>
    <w:p w:rsidR="00000000" w:rsidRPr="00315B5B" w:rsidP="00315B5B">
      <w:pPr>
        <w:pStyle w:val="ListBullet"/>
      </w:pPr>
      <w:r w:rsidRPr="00315B5B">
        <w:t xml:space="preserve">demonstrates completion of connecting and </w:t>
      </w:r>
      <w:r w:rsidRPr="00315B5B">
        <w:t>disconnecting reefer refrigeration units that safely, effectively and efficiently meets all of the required outcomes on more than one (1) occasion including:</w:t>
      </w:r>
    </w:p>
    <w:p w:rsidR="00000000" w:rsidRPr="00315B5B" w:rsidP="00315B5B">
      <w:pPr>
        <w:pStyle w:val="ListBullet2"/>
      </w:pPr>
      <w:r w:rsidRPr="00315B5B">
        <w:t xml:space="preserve">planning and preparing for connect/disconnect reefer refrigeration unit </w:t>
      </w:r>
    </w:p>
    <w:p w:rsidR="00000000" w:rsidRPr="00315B5B" w:rsidP="00315B5B">
      <w:pPr>
        <w:pStyle w:val="ListBullet2"/>
      </w:pPr>
      <w:r w:rsidRPr="00315B5B">
        <w:t>completing activity syst</w:t>
      </w:r>
      <w:r w:rsidRPr="00315B5B">
        <w:t>ematically with attention to detail without damage to goods, equipment or personnel</w:t>
      </w:r>
    </w:p>
    <w:p w:rsidR="00000000" w:rsidRPr="00315B5B" w:rsidP="00315B5B">
      <w:pPr>
        <w:pStyle w:val="ListBullet2"/>
      </w:pPr>
      <w:r w:rsidRPr="00315B5B">
        <w:t>assessing need for tagging of unserviceable or damaged units</w:t>
      </w:r>
    </w:p>
    <w:p w:rsidR="00000000" w:rsidRPr="00315B5B" w:rsidP="00315B5B">
      <w:pPr>
        <w:pStyle w:val="AllowPageBreak"/>
      </w:pPr>
    </w:p>
    <w:p w:rsidR="00000000" w:rsidRPr="00315B5B" w:rsidP="00315B5B">
      <w:pPr>
        <w:pStyle w:val="Heading1"/>
      </w:pPr>
      <w:bookmarkStart w:id="3" w:name="O_690451"/>
      <w:bookmarkEnd w:id="3"/>
      <w:r w:rsidRPr="00315B5B">
        <w:t>Knowledge Evidence</w:t>
      </w:r>
    </w:p>
    <w:p w:rsidR="00000000" w:rsidRPr="00315B5B" w:rsidP="00AE05F3">
      <w:pPr>
        <w:pStyle w:val="BodyText"/>
      </w:pPr>
      <w:r w:rsidRPr="00315B5B">
        <w:t>The candidate must demonstrate knowledge in connecting and disconnecting re</w:t>
      </w:r>
      <w:r w:rsidRPr="00315B5B">
        <w:t>efer refrigeration units through:</w:t>
      </w:r>
    </w:p>
    <w:p w:rsidR="00000000" w:rsidRPr="00315B5B" w:rsidP="00315B5B">
      <w:pPr>
        <w:pStyle w:val="ListBullet"/>
      </w:pPr>
      <w:r w:rsidRPr="00315B5B">
        <w:t>applying legislative, organisation and site requirements and procedures for:</w:t>
      </w:r>
    </w:p>
    <w:p w:rsidR="00000000" w:rsidRPr="00315B5B" w:rsidP="00315B5B">
      <w:pPr>
        <w:pStyle w:val="ListBullet2"/>
      </w:pPr>
      <w:r w:rsidRPr="00315B5B">
        <w:t>risk assessment and management</w:t>
      </w:r>
    </w:p>
    <w:p w:rsidR="00000000" w:rsidRPr="00315B5B" w:rsidP="00315B5B">
      <w:pPr>
        <w:pStyle w:val="ListBullet2"/>
      </w:pPr>
      <w:r w:rsidRPr="00315B5B">
        <w:t>statutory compliance</w:t>
      </w:r>
    </w:p>
    <w:p w:rsidR="00000000" w:rsidRPr="00315B5B" w:rsidP="00315B5B">
      <w:pPr>
        <w:pStyle w:val="ListBullet2"/>
      </w:pPr>
      <w:r w:rsidRPr="00315B5B">
        <w:t xml:space="preserve">work health and safety </w:t>
      </w:r>
    </w:p>
    <w:p w:rsidR="00000000" w:rsidRPr="00315B5B" w:rsidP="00315B5B">
      <w:pPr>
        <w:pStyle w:val="ListBullet"/>
      </w:pPr>
      <w:r w:rsidRPr="00315B5B">
        <w:t>identifying hazards and risks associated with power sources</w:t>
      </w:r>
    </w:p>
    <w:p w:rsidR="00000000" w:rsidRPr="00315B5B" w:rsidP="00315B5B">
      <w:pPr>
        <w:pStyle w:val="ListBullet"/>
      </w:pPr>
      <w:r w:rsidRPr="00315B5B">
        <w:t>identifying and reporting improvements opportunities to processes</w:t>
      </w:r>
    </w:p>
    <w:p w:rsidR="00000000" w:rsidRPr="00315B5B" w:rsidP="00315B5B">
      <w:pPr>
        <w:pStyle w:val="ListBullet"/>
      </w:pPr>
      <w:r w:rsidRPr="00315B5B">
        <w:t>applying safety precautions relevant to the task</w:t>
      </w:r>
    </w:p>
    <w:p w:rsidR="00000000" w:rsidRPr="00315B5B" w:rsidP="00315B5B">
      <w:pPr>
        <w:pStyle w:val="ListBullet"/>
      </w:pPr>
      <w:r w:rsidRPr="00315B5B">
        <w:t>identifying site layout and location of reefer refrigeration units</w:t>
      </w:r>
    </w:p>
    <w:p w:rsidR="00000000" w:rsidRPr="00315B5B" w:rsidP="00315B5B">
      <w:pPr>
        <w:pStyle w:val="ListBullet"/>
      </w:pPr>
      <w:r w:rsidRPr="00315B5B">
        <w:t>identifying problems in the operations of reefer refrigeration units</w:t>
      </w:r>
    </w:p>
    <w:p w:rsidR="00000000" w:rsidRPr="00315B5B" w:rsidP="00315B5B">
      <w:pPr>
        <w:pStyle w:val="ListBullet"/>
      </w:pPr>
      <w:r w:rsidRPr="00315B5B">
        <w:t>ident</w:t>
      </w:r>
      <w:r w:rsidRPr="00315B5B">
        <w:t>ifying reefer refrigeration units requiring clip on units</w:t>
      </w:r>
    </w:p>
    <w:p w:rsidR="00000000" w:rsidRPr="00315B5B" w:rsidP="00315B5B">
      <w:pPr>
        <w:pStyle w:val="ListBullet"/>
      </w:pPr>
      <w:r w:rsidRPr="00315B5B">
        <w:t>identifying problems in the operation of reefer refrigeration units</w:t>
      </w:r>
    </w:p>
    <w:p w:rsidR="00000000" w:rsidRPr="00315B5B" w:rsidP="00315B5B">
      <w:pPr>
        <w:pStyle w:val="ListBullet"/>
      </w:pPr>
      <w:r w:rsidRPr="00315B5B">
        <w:t>identifying units using marking and number systems</w:t>
      </w:r>
    </w:p>
    <w:p w:rsidR="00000000" w:rsidRPr="00315B5B" w:rsidP="00315B5B">
      <w:pPr>
        <w:pStyle w:val="ListBullet"/>
      </w:pPr>
      <w:r w:rsidRPr="00315B5B">
        <w:t>identifying the requirements of work systems, equipment, management and site op</w:t>
      </w:r>
      <w:r w:rsidRPr="00315B5B">
        <w:t>erating systems</w:t>
      </w:r>
    </w:p>
    <w:p w:rsidR="00000000" w:rsidRPr="00315B5B" w:rsidP="00315B5B">
      <w:pPr>
        <w:pStyle w:val="ListBullet"/>
      </w:pPr>
      <w:r w:rsidRPr="00315B5B">
        <w:t>identifying the relationships of work activities and operating systems</w:t>
      </w:r>
    </w:p>
    <w:p w:rsidR="00000000" w:rsidRPr="00315B5B" w:rsidP="00315B5B">
      <w:pPr>
        <w:pStyle w:val="AllowPageBreak"/>
      </w:pPr>
    </w:p>
    <w:p w:rsidR="00000000" w:rsidRPr="00315B5B" w:rsidP="00315B5B">
      <w:pPr>
        <w:pStyle w:val="Heading1"/>
      </w:pPr>
      <w:bookmarkStart w:id="4" w:name="O_690450"/>
      <w:bookmarkEnd w:id="4"/>
      <w:r w:rsidRPr="00315B5B">
        <w:t>Assessment Conditions</w:t>
      </w:r>
    </w:p>
    <w:p w:rsidR="00000000" w:rsidRPr="00315B5B" w:rsidP="00315B5B">
      <w:pPr>
        <w:pStyle w:val="ListBullet"/>
      </w:pPr>
      <w:r w:rsidRPr="00315B5B">
        <w:t xml:space="preserve">An assessor of this unit must satisfy the requirements of the NVR/AQTF or their successors; </w:t>
      </w:r>
      <w:r w:rsidRPr="00315B5B">
        <w:t xml:space="preserve">and Industry regulations for certification and licensing; and, </w:t>
      </w:r>
    </w:p>
    <w:p w:rsidR="00000000" w:rsidRPr="00315B5B" w:rsidP="00315B5B">
      <w:pPr>
        <w:pStyle w:val="ListBullet"/>
      </w:pPr>
      <w:r w:rsidRPr="00315B5B">
        <w:t>this unit must be assessed in the context of this sector’s work environment; and,</w:t>
      </w:r>
    </w:p>
    <w:p w:rsidR="00000000" w:rsidRPr="00315B5B" w:rsidP="00315B5B">
      <w:pPr>
        <w:pStyle w:val="ListBullet"/>
      </w:pPr>
      <w:r w:rsidRPr="00315B5B">
        <w:t xml:space="preserve">this unit must be assessed in compliance with relevant legislation/regulation and using policies, procedures, </w:t>
      </w:r>
      <w:r w:rsidRPr="00315B5B">
        <w:t>processes and operational manuals directly related to the industry sector for which it is being assessed; and,</w:t>
      </w:r>
    </w:p>
    <w:p w:rsidR="00000000" w:rsidRPr="00315B5B" w:rsidP="00315B5B">
      <w:pPr>
        <w:pStyle w:val="ListBullet"/>
      </w:pPr>
      <w:r w:rsidRPr="00315B5B">
        <w:t>assessment may be conducted in conjunction with the assessment of other Units of Competency; and,</w:t>
      </w:r>
    </w:p>
    <w:p w:rsidR="00000000" w:rsidRPr="00315B5B" w:rsidP="00315B5B">
      <w:pPr>
        <w:pStyle w:val="ListBullet"/>
      </w:pPr>
      <w:r w:rsidRPr="00315B5B">
        <w:t xml:space="preserve">assessment must confirm consistent performance </w:t>
      </w:r>
      <w:r w:rsidRPr="00315B5B">
        <w:t>can be applied in a range of relevant workplace circumstances; and,</w:t>
      </w:r>
    </w:p>
    <w:p w:rsidR="00000000" w:rsidRPr="00315B5B" w:rsidP="00315B5B">
      <w:pPr>
        <w:pStyle w:val="ListBullet"/>
      </w:pPr>
      <w:r w:rsidRPr="00315B5B">
        <w:t>assessors must demonstrate the performance evidence, and knowledge evidence as outlined in this Unit of Competency, and through the minimum years of current* work experience specified belo</w:t>
      </w:r>
      <w:r w:rsidRPr="00315B5B">
        <w:t>w in an Industry sector relevant to the outcomes of the unit; or,</w:t>
      </w:r>
    </w:p>
    <w:p w:rsidR="00000000" w:rsidRPr="00315B5B" w:rsidP="00315B5B">
      <w:pPr>
        <w:pStyle w:val="ListBullet"/>
      </w:pPr>
      <w:r w:rsidRPr="00315B5B">
        <w:t>where the assessor does not meet experience requirements a co-assessment or partnership arrangement must exist between the qualified assessor and an Industry subject matter expert. The Indus</w:t>
      </w:r>
      <w:r w:rsidRPr="00315B5B">
        <w:t>try subject matter expert should hold the unit being assessed (or an equivalent unit) and/or demonstrate equivalence of skills and knowledge at the unit level. An Industry technical expert must also demonstrate skills and knowledge from the minimum years o</w:t>
      </w:r>
      <w:r w:rsidRPr="00315B5B">
        <w:t>f current work experience specified below in the Industry sector, including time spent in roles related to the unit being assessed; and,</w:t>
      </w:r>
    </w:p>
    <w:p w:rsidR="00000000" w:rsidRPr="00315B5B" w:rsidP="00315B5B">
      <w:pPr>
        <w:pStyle w:val="ListBullet"/>
      </w:pPr>
      <w:r w:rsidRPr="00315B5B">
        <w:t>assessor and Industry subject matter expert requirements differ depending on the Australian Qualifications Framework Le</w:t>
      </w:r>
      <w:r w:rsidRPr="00315B5B">
        <w:t>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15B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Heading4"/>
              <w:rPr>
                <w:lang w:val="en-NZ"/>
              </w:rPr>
            </w:pPr>
            <w:r w:rsidRPr="00315B5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Heading4"/>
              <w:rPr>
                <w:lang w:val="en-NZ"/>
              </w:rPr>
            </w:pPr>
            <w:r w:rsidRPr="00315B5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Heading4"/>
              <w:rPr>
                <w:lang w:val="en-NZ"/>
              </w:rPr>
            </w:pPr>
            <w:r w:rsidRPr="00315B5B">
              <w:t>Required assessor or Industry subject matter expert experience</w:t>
            </w:r>
          </w:p>
        </w:tc>
      </w:tr>
      <w:tr w:rsidTr="00315B5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BodyText"/>
              <w:rPr>
                <w:lang w:val="en-NZ"/>
              </w:rPr>
            </w:pPr>
            <w:r w:rsidRPr="00315B5B">
              <w:t>Drilling, Metalliferous Mining, Coal Mining, Extractive (Quarrying) and Civil Const</w:t>
            </w:r>
            <w:r w:rsidRPr="00315B5B">
              <w: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BodyText"/>
              <w:rPr>
                <w:lang w:val="en-NZ"/>
              </w:rPr>
            </w:pPr>
            <w:r w:rsidRPr="00315B5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BodyText"/>
              <w:rPr>
                <w:lang w:val="en-NZ"/>
              </w:rPr>
            </w:pPr>
            <w:r w:rsidRPr="00315B5B">
              <w:t>1 Year</w:t>
            </w:r>
          </w:p>
        </w:tc>
      </w:tr>
      <w:tr w:rsidTr="00315B5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BodyText"/>
              <w:rPr>
                <w:lang w:val="en-NZ"/>
              </w:rPr>
            </w:pPr>
            <w:r w:rsidRPr="00315B5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BodyText"/>
              <w:rPr>
                <w:lang w:val="en-NZ"/>
              </w:rPr>
            </w:pPr>
            <w:r w:rsidRPr="00315B5B">
              <w:t>2 Years</w:t>
            </w:r>
          </w:p>
        </w:tc>
      </w:tr>
      <w:tr w:rsidTr="00315B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BodyText"/>
              <w:rPr>
                <w:lang w:val="en-NZ"/>
              </w:rPr>
            </w:pPr>
            <w:r w:rsidRPr="00315B5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BodyText"/>
              <w:rPr>
                <w:lang w:val="en-NZ"/>
              </w:rPr>
            </w:pPr>
            <w:r w:rsidRPr="00315B5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BodyText"/>
              <w:rPr>
                <w:lang w:val="en-NZ"/>
              </w:rPr>
            </w:pPr>
            <w:r w:rsidRPr="00315B5B">
              <w:t>3 Years</w:t>
            </w:r>
          </w:p>
        </w:tc>
      </w:tr>
      <w:tr w:rsidTr="00315B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BodyText"/>
              <w:rPr>
                <w:lang w:val="en-NZ"/>
              </w:rPr>
            </w:pPr>
            <w:r w:rsidRPr="00315B5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BodyText"/>
              <w:rPr>
                <w:lang w:val="en-NZ"/>
              </w:rPr>
            </w:pPr>
            <w:r w:rsidRPr="00315B5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BodyText"/>
              <w:rPr>
                <w:lang w:val="en-NZ"/>
              </w:rPr>
            </w:pPr>
            <w:r w:rsidRPr="00315B5B">
              <w:t>5 Years</w:t>
            </w:r>
          </w:p>
        </w:tc>
      </w:tr>
      <w:tr w:rsidTr="00315B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5B5B">
            <w:pPr>
              <w:pStyle w:val="BodyText"/>
              <w:rPr>
                <w:lang w:val="en-NZ"/>
              </w:rPr>
            </w:pPr>
            <w:r w:rsidRPr="00315B5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5B5B" w:rsidP="00315B5B">
            <w:pPr>
              <w:pStyle w:val="BodyText"/>
            </w:pPr>
            <w:r w:rsidRPr="00315B5B">
              <w:t>Where this Unit is being assessed outside of the Resources and Infrastructure Sectors assessor and/or Industry subject matter expert experience should be in-line with industry standards for the sector in which it is being assessed and where no Industry sta</w:t>
            </w:r>
            <w:r w:rsidRPr="00315B5B">
              <w:t>ndard is specified should comply with any relevant regulation.</w:t>
            </w:r>
          </w:p>
        </w:tc>
      </w:tr>
    </w:tbl>
    <w:p w:rsidR="00000000" w:rsidRPr="00315B5B" w:rsidP="00AE05F3">
      <w:pPr>
        <w:pStyle w:val="BodyText"/>
      </w:pPr>
      <w:r w:rsidRPr="00315B5B">
        <w:t>*Assessors can demonstrate current work experience through employment within Industry in a role relevant to the outcomes of the Unit; or, for external assessors this can be demonstrated throu</w:t>
      </w:r>
      <w:r w:rsidRPr="00315B5B">
        <w:t>gh exposure to Industry by conducting frequent site assessments across various locations.</w:t>
      </w:r>
    </w:p>
    <w:p w:rsidR="00000000" w:rsidRPr="00315B5B" w:rsidP="00AE05F3">
      <w:pPr>
        <w:pStyle w:val="BodyText"/>
      </w:pPr>
      <w:r w:rsidRPr="00315B5B">
        <w:t>**Where a unit is being delivered outside of a Qualification the first numeric character in the Unit code should be considered to indicate the AQF level</w:t>
      </w:r>
    </w:p>
    <w:p w:rsidR="00000000" w:rsidRPr="00315B5B" w:rsidP="00315B5B">
      <w:pPr>
        <w:pStyle w:val="Heading1"/>
      </w:pPr>
      <w:bookmarkStart w:id="5" w:name="O_690462"/>
      <w:bookmarkEnd w:id="5"/>
      <w:r w:rsidRPr="00315B5B">
        <w:t>Links</w:t>
      </w:r>
    </w:p>
    <w:p w:rsidR="00000000" w:rsidRPr="00315B5B" w:rsidP="00AE05F3">
      <w:pPr>
        <w:pStyle w:val="BodyText"/>
      </w:pPr>
      <w:r w:rsidRPr="00315B5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60232">
        <w:rPr>
          <w:rStyle w:val="Hyperlink"/>
        </w:rPr>
        <w:t>https://vetnet.gov.au/Pages/TrainingDocs.aspx?q=88a61002-9a21-4386-aaf8-69c76e675272</w:t>
      </w:r>
      <w:r>
        <w:fldChar w:fldCharType="end"/>
      </w:r>
    </w:p>
    <w:p w:rsidR="00000000" w:rsidRPr="00315B5B" w:rsidP="00315B5B"/>
    <w:sectPr w:rsidSect="00315B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B5B" w:rsidRPr="00AE05F3" w:rsidP="00AE0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F3" w:rsidP="00315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05F3" w:rsidP="00315B5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E05F3" w:rsidP="00315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B5B" w:rsidRPr="00AE05F3" w:rsidP="00AE05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F3" w:rsidRPr="002D2AF8" w:rsidP="00315B5B">
    <w:pPr>
      <w:pStyle w:val="Header"/>
      <w:framePr w:wrap="around"/>
    </w:pPr>
    <w:r>
      <w:fldChar w:fldCharType="begin"/>
    </w:r>
    <w:r>
      <w:instrText xml:space="preserve"> TITLE   \* MERGEFORMAT </w:instrText>
    </w:r>
    <w:r>
      <w:fldChar w:fldCharType="separate"/>
    </w:r>
    <w:r>
      <w:t>Assessment Requirements for RIIMPG201D Connect and disconnect reefer refrigeration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AE05F3" w:rsidP="00315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80D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0611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128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B5B"/>
    <w:pPr>
      <w:spacing w:before="360" w:after="60"/>
      <w:outlineLvl w:val="0"/>
    </w:pPr>
    <w:rPr>
      <w:sz w:val="32"/>
    </w:rPr>
  </w:style>
  <w:style w:type="paragraph" w:styleId="Heading2">
    <w:name w:val="heading 2"/>
    <w:basedOn w:val="HeadingBase"/>
    <w:next w:val="BodyText"/>
    <w:link w:val="Heading2Char"/>
    <w:qFormat/>
    <w:rsid w:val="00315B5B"/>
    <w:pPr>
      <w:keepLines/>
      <w:spacing w:before="240" w:after="120"/>
      <w:outlineLvl w:val="1"/>
    </w:pPr>
    <w:rPr>
      <w:sz w:val="28"/>
      <w:szCs w:val="40"/>
    </w:rPr>
  </w:style>
  <w:style w:type="paragraph" w:styleId="Heading3">
    <w:name w:val="heading 3"/>
    <w:basedOn w:val="HeadingBase"/>
    <w:next w:val="BodyText"/>
    <w:link w:val="Heading3Char"/>
    <w:qFormat/>
    <w:rsid w:val="00315B5B"/>
    <w:pPr>
      <w:spacing w:before="180" w:after="120"/>
      <w:outlineLvl w:val="2"/>
    </w:pPr>
    <w:rPr>
      <w:spacing w:val="-10"/>
      <w:kern w:val="32"/>
    </w:rPr>
  </w:style>
  <w:style w:type="paragraph" w:styleId="Heading4">
    <w:name w:val="heading 4"/>
    <w:basedOn w:val="HeadingBase"/>
    <w:next w:val="BodyText"/>
    <w:link w:val="Heading4Char"/>
    <w:qFormat/>
    <w:rsid w:val="00315B5B"/>
    <w:pPr>
      <w:spacing w:before="160" w:after="120"/>
      <w:outlineLvl w:val="3"/>
    </w:pPr>
    <w:rPr>
      <w:sz w:val="22"/>
    </w:rPr>
  </w:style>
  <w:style w:type="paragraph" w:styleId="Heading5">
    <w:name w:val="heading 5"/>
    <w:basedOn w:val="HeadingBase"/>
    <w:next w:val="Normal"/>
    <w:link w:val="Heading5Char"/>
    <w:qFormat/>
    <w:rsid w:val="00315B5B"/>
    <w:pPr>
      <w:spacing w:before="80"/>
      <w:outlineLvl w:val="4"/>
    </w:pPr>
    <w:rPr>
      <w:color w:val="918585"/>
      <w:sz w:val="20"/>
    </w:rPr>
  </w:style>
  <w:style w:type="paragraph" w:styleId="Heading6">
    <w:name w:val="heading 6"/>
    <w:basedOn w:val="HeadingBase"/>
    <w:next w:val="Normal"/>
    <w:link w:val="Heading6Char"/>
    <w:qFormat/>
    <w:rsid w:val="00315B5B"/>
    <w:pPr>
      <w:spacing w:before="60"/>
      <w:outlineLvl w:val="5"/>
    </w:pPr>
    <w:rPr>
      <w:color w:val="918585"/>
      <w:sz w:val="20"/>
    </w:rPr>
  </w:style>
  <w:style w:type="paragraph" w:styleId="Heading7">
    <w:name w:val="heading 7"/>
    <w:basedOn w:val="Normal"/>
    <w:next w:val="Normal"/>
    <w:link w:val="Heading7Char"/>
    <w:qFormat/>
    <w:rsid w:val="00315B5B"/>
    <w:pPr>
      <w:ind w:left="720"/>
      <w:outlineLvl w:val="6"/>
    </w:pPr>
    <w:rPr>
      <w:i/>
    </w:rPr>
  </w:style>
  <w:style w:type="paragraph" w:styleId="Heading8">
    <w:name w:val="heading 8"/>
    <w:basedOn w:val="Normal"/>
    <w:next w:val="Normal"/>
    <w:link w:val="Heading8Char"/>
    <w:qFormat/>
    <w:rsid w:val="00315B5B"/>
    <w:pPr>
      <w:ind w:left="720"/>
      <w:outlineLvl w:val="7"/>
    </w:pPr>
    <w:rPr>
      <w:i/>
    </w:rPr>
  </w:style>
  <w:style w:type="paragraph" w:styleId="Heading9">
    <w:name w:val="heading 9"/>
    <w:basedOn w:val="Normal"/>
    <w:next w:val="Normal"/>
    <w:link w:val="Heading9Char"/>
    <w:qFormat/>
    <w:rsid w:val="00315B5B"/>
    <w:pPr>
      <w:ind w:left="720"/>
      <w:outlineLvl w:val="8"/>
    </w:pPr>
    <w:rPr>
      <w:i/>
    </w:rPr>
  </w:style>
  <w:style w:type="character" w:default="1" w:styleId="DefaultParagraphFont">
    <w:name w:val="Default Paragraph Font"/>
    <w:uiPriority w:val="1"/>
    <w:unhideWhenUsed/>
    <w:rsid w:val="00315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B5B"/>
  </w:style>
  <w:style w:type="character" w:customStyle="1" w:styleId="Heading1Char">
    <w:name w:val="Heading 1 Char"/>
    <w:basedOn w:val="DefaultParagraphFont"/>
    <w:link w:val="Heading1"/>
    <w:rsid w:val="00315B5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15B5B"/>
    <w:rPr>
      <w:rFonts w:ascii="Times New Roman" w:eastAsia="Times New Roman" w:hAnsi="Times New Roman" w:cs="Times New Roman"/>
      <w:b/>
      <w:szCs w:val="20"/>
      <w:lang w:eastAsia="en-US"/>
    </w:rPr>
  </w:style>
  <w:style w:type="paragraph" w:styleId="BodyText">
    <w:name w:val="Body Text"/>
    <w:basedOn w:val="Normal"/>
    <w:link w:val="BodyTextChar"/>
    <w:rsid w:val="00315B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B5B"/>
    <w:rPr>
      <w:rFonts w:ascii="Times New Roman" w:eastAsia="Times New Roman" w:hAnsi="Times New Roman" w:cs="Times New Roman"/>
      <w:sz w:val="24"/>
      <w:lang w:eastAsia="en-US"/>
    </w:rPr>
  </w:style>
  <w:style w:type="paragraph" w:styleId="ListBullet">
    <w:name w:val="List Bullet"/>
    <w:basedOn w:val="List"/>
    <w:rsid w:val="00315B5B"/>
    <w:pPr>
      <w:numPr>
        <w:numId w:val="12"/>
      </w:numPr>
      <w:tabs>
        <w:tab w:val="clear" w:pos="340"/>
      </w:tabs>
      <w:spacing w:before="40" w:after="40"/>
    </w:pPr>
  </w:style>
  <w:style w:type="paragraph" w:styleId="ListBullet2">
    <w:name w:val="List Bullet 2"/>
    <w:basedOn w:val="List2"/>
    <w:rsid w:val="00315B5B"/>
    <w:pPr>
      <w:numPr>
        <w:numId w:val="13"/>
      </w:numPr>
      <w:tabs>
        <w:tab w:val="clear" w:pos="680"/>
      </w:tabs>
    </w:pPr>
  </w:style>
  <w:style w:type="paragraph" w:customStyle="1" w:styleId="SuperHeading">
    <w:name w:val="SuperHeading"/>
    <w:basedOn w:val="Normal"/>
    <w:rsid w:val="00315B5B"/>
    <w:pPr>
      <w:spacing w:before="240" w:after="120"/>
      <w:outlineLvl w:val="0"/>
    </w:pPr>
    <w:rPr>
      <w:rFonts w:ascii="Times New Roman" w:hAnsi="Times New Roman"/>
      <w:b/>
      <w:sz w:val="32"/>
    </w:rPr>
  </w:style>
  <w:style w:type="paragraph" w:customStyle="1" w:styleId="AllowPageBreak">
    <w:name w:val="AllowPageBreak"/>
    <w:rsid w:val="00315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B5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15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B5B"/>
    <w:rPr>
      <w:rFonts w:ascii="Courier New" w:eastAsia="Times New Roman" w:hAnsi="Courier New" w:cs="Times New Roman"/>
      <w:i/>
      <w:szCs w:val="20"/>
      <w:lang w:eastAsia="en-US"/>
    </w:rPr>
  </w:style>
  <w:style w:type="paragraph" w:customStyle="1" w:styleId="HeadingBase">
    <w:name w:val="Heading Base"/>
    <w:rsid w:val="00315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B5B"/>
    <w:pPr>
      <w:tabs>
        <w:tab w:val="right" w:leader="dot" w:pos="9072"/>
      </w:tabs>
      <w:ind w:left="567"/>
    </w:pPr>
    <w:rPr>
      <w:szCs w:val="22"/>
    </w:rPr>
  </w:style>
  <w:style w:type="paragraph" w:customStyle="1" w:styleId="TOCBase">
    <w:name w:val="TOC Base"/>
    <w:rsid w:val="00315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B5B"/>
    <w:pPr>
      <w:tabs>
        <w:tab w:val="right" w:leader="dot" w:pos="9072"/>
      </w:tabs>
      <w:spacing w:before="40" w:after="40"/>
      <w:ind w:left="284"/>
    </w:pPr>
    <w:rPr>
      <w:rFonts w:ascii="Times New Roman" w:hAnsi="Times New Roman"/>
    </w:rPr>
  </w:style>
  <w:style w:type="paragraph" w:styleId="TOC1">
    <w:name w:val="toc 1"/>
    <w:basedOn w:val="TOCBase"/>
    <w:next w:val="Normal"/>
    <w:rsid w:val="00315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B5B"/>
    <w:rPr>
      <w:rFonts w:ascii="Times New Roman" w:eastAsia="Times New Roman" w:hAnsi="Times New Roman" w:cs="Times New Roman"/>
      <w:sz w:val="16"/>
      <w:lang w:eastAsia="en-US"/>
    </w:rPr>
  </w:style>
  <w:style w:type="paragraph" w:styleId="Title">
    <w:name w:val="Title"/>
    <w:basedOn w:val="HeadingBase"/>
    <w:link w:val="TitleChar"/>
    <w:qFormat/>
    <w:rsid w:val="00315B5B"/>
    <w:pPr>
      <w:spacing w:before="5040"/>
      <w:jc w:val="center"/>
    </w:pPr>
    <w:rPr>
      <w:sz w:val="48"/>
      <w:szCs w:val="72"/>
      <w:lang w:val="en-US"/>
    </w:rPr>
  </w:style>
  <w:style w:type="character" w:customStyle="1" w:styleId="TitleChar">
    <w:name w:val="Title Char"/>
    <w:basedOn w:val="DefaultParagraphFont"/>
    <w:link w:val="Title"/>
    <w:rsid w:val="00315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B5B"/>
    <w:pPr>
      <w:tabs>
        <w:tab w:val="left" w:pos="3600"/>
        <w:tab w:val="left" w:pos="3958"/>
      </w:tabs>
    </w:pPr>
  </w:style>
  <w:style w:type="paragraph" w:styleId="List">
    <w:name w:val="List"/>
    <w:basedOn w:val="BodyText"/>
    <w:next w:val="BodyText"/>
    <w:rsid w:val="00315B5B"/>
    <w:pPr>
      <w:tabs>
        <w:tab w:val="left" w:pos="340"/>
      </w:tabs>
      <w:spacing w:before="60" w:after="60"/>
      <w:ind w:left="340" w:hanging="340"/>
    </w:pPr>
  </w:style>
  <w:style w:type="paragraph" w:customStyle="1" w:styleId="Note">
    <w:name w:val="Note"/>
    <w:basedOn w:val="BodyText"/>
    <w:rsid w:val="00315B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5B5B"/>
    <w:rPr>
      <w:b/>
      <w:spacing w:val="0"/>
    </w:rPr>
  </w:style>
  <w:style w:type="paragraph" w:customStyle="1" w:styleId="SuperTitle">
    <w:name w:val="SuperTitle"/>
    <w:basedOn w:val="Title"/>
    <w:rsid w:val="00315B5B"/>
    <w:pPr>
      <w:framePr w:wrap="auto" w:hAnchor="text" w:y="6049"/>
    </w:pPr>
    <w:rPr>
      <w:color w:val="000000"/>
      <w:sz w:val="40"/>
    </w:rPr>
  </w:style>
  <w:style w:type="paragraph" w:customStyle="1" w:styleId="TOCTitle">
    <w:name w:val="TOCTitle"/>
    <w:basedOn w:val="Heading1"/>
    <w:rsid w:val="00315B5B"/>
    <w:pPr>
      <w:spacing w:after="240"/>
      <w:jc w:val="center"/>
      <w:outlineLvl w:val="9"/>
    </w:pPr>
    <w:rPr>
      <w:caps/>
    </w:rPr>
  </w:style>
  <w:style w:type="paragraph" w:customStyle="1" w:styleId="Version">
    <w:name w:val="Version"/>
    <w:rsid w:val="00315B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B5B"/>
    <w:pPr>
      <w:keepNext w:val="0"/>
      <w:tabs>
        <w:tab w:val="right" w:pos="4176"/>
      </w:tabs>
      <w:ind w:left="198" w:hanging="198"/>
    </w:pPr>
    <w:rPr>
      <w:rFonts w:ascii="Garamond" w:hAnsi="Garamond"/>
    </w:rPr>
  </w:style>
  <w:style w:type="paragraph" w:styleId="IndexHeading">
    <w:name w:val="index heading"/>
    <w:basedOn w:val="Normal"/>
    <w:next w:val="Index1"/>
    <w:semiHidden/>
    <w:rsid w:val="00315B5B"/>
    <w:pPr>
      <w:spacing w:before="120" w:after="120"/>
    </w:pPr>
    <w:rPr>
      <w:rFonts w:ascii="Arial" w:hAnsi="Arial"/>
      <w:b/>
      <w:color w:val="918585"/>
      <w:sz w:val="24"/>
    </w:rPr>
  </w:style>
  <w:style w:type="paragraph" w:styleId="Header">
    <w:name w:val="header"/>
    <w:basedOn w:val="Normal"/>
    <w:link w:val="HeaderChar"/>
    <w:rsid w:val="00315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B5B"/>
    <w:rPr>
      <w:rFonts w:ascii="Times New Roman" w:eastAsia="Times New Roman" w:hAnsi="Times New Roman" w:cs="Times New Roman"/>
      <w:sz w:val="16"/>
      <w:szCs w:val="20"/>
      <w:lang w:val="en-GB" w:eastAsia="en-US"/>
    </w:rPr>
  </w:style>
  <w:style w:type="paragraph" w:customStyle="1" w:styleId="Chapter">
    <w:name w:val="Chapter"/>
    <w:basedOn w:val="Normal"/>
    <w:rsid w:val="00315B5B"/>
    <w:pPr>
      <w:spacing w:before="240"/>
    </w:pPr>
    <w:rPr>
      <w:rFonts w:ascii="Times New Roman" w:hAnsi="Times New Roman"/>
      <w:smallCaps/>
      <w:spacing w:val="80"/>
      <w:sz w:val="28"/>
    </w:rPr>
  </w:style>
  <w:style w:type="paragraph" w:customStyle="1" w:styleId="InChapter">
    <w:name w:val="InChapter"/>
    <w:basedOn w:val="Heading3"/>
    <w:rsid w:val="00315B5B"/>
    <w:pPr>
      <w:spacing w:after="240"/>
      <w:outlineLvl w:val="9"/>
    </w:pPr>
    <w:rPr>
      <w:noProof/>
    </w:rPr>
  </w:style>
  <w:style w:type="paragraph" w:styleId="Index2">
    <w:name w:val="index 2"/>
    <w:basedOn w:val="Normal"/>
    <w:next w:val="Normal"/>
    <w:semiHidden/>
    <w:rsid w:val="00315B5B"/>
    <w:pPr>
      <w:tabs>
        <w:tab w:val="right" w:pos="4176"/>
      </w:tabs>
      <w:ind w:left="568" w:hanging="284"/>
    </w:pPr>
    <w:rPr>
      <w:rFonts w:ascii="Garamond" w:hAnsi="Garamond"/>
    </w:rPr>
  </w:style>
  <w:style w:type="paragraph" w:customStyle="1" w:styleId="Byline">
    <w:name w:val="Byline"/>
    <w:rsid w:val="00315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B5B"/>
    <w:pPr>
      <w:tabs>
        <w:tab w:val="clear" w:pos="3600"/>
        <w:tab w:val="clear" w:pos="3958"/>
      </w:tabs>
      <w:jc w:val="right"/>
    </w:pPr>
  </w:style>
  <w:style w:type="character" w:styleId="Emphasis">
    <w:name w:val="Emphasis"/>
    <w:basedOn w:val="DefaultParagraphFont"/>
    <w:qFormat/>
    <w:rsid w:val="00315B5B"/>
    <w:rPr>
      <w:i/>
    </w:rPr>
  </w:style>
  <w:style w:type="paragraph" w:styleId="Caption">
    <w:name w:val="caption"/>
    <w:basedOn w:val="BodyText"/>
    <w:next w:val="Normal"/>
    <w:qFormat/>
    <w:rsid w:val="00315B5B"/>
    <w:pPr>
      <w:framePr w:w="2268" w:hSpace="181" w:vSpace="181" w:wrap="around" w:vAnchor="text" w:hAnchor="page" w:x="1135" w:y="285" w:anchorLock="1"/>
    </w:pPr>
    <w:rPr>
      <w:i/>
    </w:rPr>
  </w:style>
  <w:style w:type="paragraph" w:customStyle="1" w:styleId="MiniTOCTitle">
    <w:name w:val="MiniTOCTitle"/>
    <w:basedOn w:val="Heading4"/>
    <w:rsid w:val="00315B5B"/>
    <w:pPr>
      <w:spacing w:before="240"/>
      <w:outlineLvl w:val="9"/>
    </w:pPr>
    <w:rPr>
      <w:noProof/>
      <w:sz w:val="24"/>
    </w:rPr>
  </w:style>
  <w:style w:type="paragraph" w:customStyle="1" w:styleId="MiniTOCItem">
    <w:name w:val="MiniTOCItem"/>
    <w:basedOn w:val="ListBullet"/>
    <w:rsid w:val="00315B5B"/>
    <w:pPr>
      <w:numPr>
        <w:numId w:val="0"/>
      </w:numPr>
      <w:tabs>
        <w:tab w:val="right" w:leader="dot" w:pos="6521"/>
      </w:tabs>
      <w:spacing w:before="0" w:after="0"/>
    </w:pPr>
  </w:style>
  <w:style w:type="paragraph" w:customStyle="1" w:styleId="TOFTitle">
    <w:name w:val="TOFTitle"/>
    <w:basedOn w:val="TOCTitle"/>
    <w:rsid w:val="00315B5B"/>
  </w:style>
  <w:style w:type="paragraph" w:styleId="TableofFigures">
    <w:name w:val="table of figures"/>
    <w:basedOn w:val="Normal"/>
    <w:next w:val="Normal"/>
    <w:semiHidden/>
    <w:rsid w:val="00315B5B"/>
    <w:pPr>
      <w:tabs>
        <w:tab w:val="right" w:leader="dot" w:pos="9072"/>
      </w:tabs>
      <w:ind w:left="970" w:hanging="403"/>
    </w:pPr>
    <w:rPr>
      <w:rFonts w:ascii="Times New Roman" w:hAnsi="Times New Roman"/>
      <w:b/>
    </w:rPr>
  </w:style>
  <w:style w:type="paragraph" w:styleId="ListNumber">
    <w:name w:val="List Number"/>
    <w:basedOn w:val="List"/>
    <w:rsid w:val="00315B5B"/>
    <w:pPr>
      <w:numPr>
        <w:numId w:val="15"/>
      </w:numPr>
      <w:tabs>
        <w:tab w:val="clear" w:pos="340"/>
      </w:tabs>
    </w:pPr>
  </w:style>
  <w:style w:type="character" w:customStyle="1" w:styleId="WingdingSymbols">
    <w:name w:val="Wingding Symbols"/>
    <w:rsid w:val="00315B5B"/>
    <w:rPr>
      <w:rFonts w:ascii="Wingdings" w:hAnsi="Wingdings"/>
    </w:rPr>
  </w:style>
  <w:style w:type="paragraph" w:customStyle="1" w:styleId="TableHeading">
    <w:name w:val="Table Heading"/>
    <w:basedOn w:val="HeadingBase"/>
    <w:rsid w:val="00315B5B"/>
    <w:pPr>
      <w:keepLines/>
      <w:pBdr>
        <w:bottom w:val="single" w:sz="6" w:space="1" w:color="918585"/>
      </w:pBdr>
      <w:spacing w:before="240"/>
    </w:pPr>
  </w:style>
  <w:style w:type="character" w:customStyle="1" w:styleId="HotSpot">
    <w:name w:val="HotSpot"/>
    <w:rsid w:val="00315B5B"/>
    <w:rPr>
      <w:color w:val="0033CC"/>
      <w:u w:val="none"/>
    </w:rPr>
  </w:style>
  <w:style w:type="paragraph" w:customStyle="1" w:styleId="BodyTextRight">
    <w:name w:val="Body Text Right"/>
    <w:basedOn w:val="BodyText"/>
    <w:rsid w:val="00315B5B"/>
    <w:pPr>
      <w:spacing w:before="0" w:after="0"/>
      <w:jc w:val="right"/>
    </w:pPr>
  </w:style>
  <w:style w:type="paragraph" w:styleId="Index3">
    <w:name w:val="index 3"/>
    <w:basedOn w:val="ListNumber2"/>
    <w:next w:val="Normal"/>
    <w:semiHidden/>
    <w:rsid w:val="00315B5B"/>
    <w:pPr>
      <w:numPr>
        <w:numId w:val="0"/>
      </w:numPr>
      <w:tabs>
        <w:tab w:val="right" w:leader="dot" w:pos="4176"/>
      </w:tabs>
    </w:pPr>
  </w:style>
  <w:style w:type="paragraph" w:styleId="ListNumber2">
    <w:name w:val="List Number 2"/>
    <w:basedOn w:val="List2"/>
    <w:rsid w:val="00315B5B"/>
    <w:pPr>
      <w:numPr>
        <w:numId w:val="10"/>
      </w:numPr>
      <w:tabs>
        <w:tab w:val="clear" w:pos="1060"/>
      </w:tabs>
    </w:pPr>
  </w:style>
  <w:style w:type="paragraph" w:customStyle="1" w:styleId="MarginNote">
    <w:name w:val="Margin Note"/>
    <w:basedOn w:val="BodyText"/>
    <w:rsid w:val="00315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B5B"/>
    <w:rPr>
      <w:sz w:val="32"/>
    </w:rPr>
  </w:style>
  <w:style w:type="paragraph" w:customStyle="1" w:styleId="HeadingProcedure">
    <w:name w:val="Heading Procedure"/>
    <w:basedOn w:val="HeadingBase"/>
    <w:next w:val="Normal"/>
    <w:rsid w:val="00315B5B"/>
    <w:pPr>
      <w:tabs>
        <w:tab w:val="left" w:pos="0"/>
      </w:tabs>
      <w:spacing w:before="120" w:after="60"/>
    </w:pPr>
    <w:rPr>
      <w:i/>
      <w:color w:val="918585"/>
      <w:sz w:val="22"/>
    </w:rPr>
  </w:style>
  <w:style w:type="paragraph" w:customStyle="1" w:styleId="TableBodyText">
    <w:name w:val="Table Body Text"/>
    <w:basedOn w:val="BodyText"/>
    <w:rsid w:val="00315B5B"/>
    <w:pPr>
      <w:spacing w:before="60" w:after="60"/>
    </w:pPr>
  </w:style>
  <w:style w:type="paragraph" w:styleId="ListContinue">
    <w:name w:val="List Continue"/>
    <w:basedOn w:val="List"/>
    <w:rsid w:val="00315B5B"/>
    <w:pPr>
      <w:ind w:firstLine="0"/>
    </w:pPr>
  </w:style>
  <w:style w:type="paragraph" w:customStyle="1" w:styleId="ListNote">
    <w:name w:val="List Note"/>
    <w:basedOn w:val="List"/>
    <w:rsid w:val="00315B5B"/>
    <w:pPr>
      <w:pBdr>
        <w:top w:val="single" w:sz="6" w:space="2" w:color="918585"/>
        <w:bottom w:val="single" w:sz="6" w:space="2" w:color="918585"/>
      </w:pBdr>
      <w:tabs>
        <w:tab w:val="left" w:pos="1021"/>
      </w:tabs>
      <w:ind w:firstLine="0"/>
    </w:pPr>
  </w:style>
  <w:style w:type="paragraph" w:customStyle="1" w:styleId="Warning">
    <w:name w:val="Warning"/>
    <w:basedOn w:val="BodyText"/>
    <w:rsid w:val="00315B5B"/>
    <w:pPr>
      <w:shd w:val="clear" w:color="auto" w:fill="D9D9D9"/>
      <w:tabs>
        <w:tab w:val="left" w:pos="992"/>
      </w:tabs>
      <w:ind w:left="119" w:right="119"/>
    </w:pPr>
    <w:rPr>
      <w:sz w:val="20"/>
    </w:rPr>
  </w:style>
  <w:style w:type="paragraph" w:customStyle="1" w:styleId="MarginIcons">
    <w:name w:val="Margin Icons"/>
    <w:basedOn w:val="BodyText"/>
    <w:rsid w:val="00315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B5B"/>
    <w:rPr>
      <w:rFonts w:ascii="Courier New" w:hAnsi="Courier New"/>
    </w:rPr>
  </w:style>
  <w:style w:type="paragraph" w:customStyle="1" w:styleId="NoteBullet">
    <w:name w:val="Note Bullet"/>
    <w:basedOn w:val="Note"/>
    <w:rsid w:val="00315B5B"/>
    <w:pPr>
      <w:tabs>
        <w:tab w:val="clear" w:pos="680"/>
      </w:tabs>
      <w:spacing w:before="60" w:after="60"/>
    </w:pPr>
  </w:style>
  <w:style w:type="paragraph" w:customStyle="1" w:styleId="SubHeading2">
    <w:name w:val="SubHeading2"/>
    <w:basedOn w:val="HeadingBase"/>
    <w:rsid w:val="00315B5B"/>
    <w:pPr>
      <w:spacing w:before="240" w:after="60"/>
    </w:pPr>
    <w:rPr>
      <w:sz w:val="20"/>
    </w:rPr>
  </w:style>
  <w:style w:type="paragraph" w:customStyle="1" w:styleId="SubHeading1">
    <w:name w:val="SubHeading1"/>
    <w:basedOn w:val="HeadingBase"/>
    <w:rsid w:val="00315B5B"/>
    <w:pPr>
      <w:spacing w:before="240" w:after="60"/>
    </w:pPr>
    <w:rPr>
      <w:color w:val="918585"/>
      <w:sz w:val="22"/>
    </w:rPr>
  </w:style>
  <w:style w:type="paragraph" w:customStyle="1" w:styleId="SideHeading">
    <w:name w:val="Side Heading"/>
    <w:basedOn w:val="HeadingBase"/>
    <w:rsid w:val="00315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B5B"/>
    <w:pPr>
      <w:tabs>
        <w:tab w:val="num" w:pos="360"/>
      </w:tabs>
    </w:pPr>
  </w:style>
  <w:style w:type="paragraph" w:styleId="PlainText">
    <w:name w:val="Plain Text"/>
    <w:basedOn w:val="Normal"/>
    <w:link w:val="PlainTextChar"/>
    <w:rsid w:val="00315B5B"/>
    <w:rPr>
      <w:sz w:val="20"/>
    </w:rPr>
  </w:style>
  <w:style w:type="character" w:customStyle="1" w:styleId="PlainTextChar">
    <w:name w:val="Plain Text Char"/>
    <w:basedOn w:val="DefaultParagraphFont"/>
    <w:link w:val="PlainText"/>
    <w:rsid w:val="00315B5B"/>
    <w:rPr>
      <w:rFonts w:ascii="Courier New" w:eastAsia="Times New Roman" w:hAnsi="Courier New" w:cs="Times New Roman"/>
      <w:sz w:val="20"/>
      <w:szCs w:val="20"/>
      <w:lang w:eastAsia="en-US"/>
    </w:rPr>
  </w:style>
  <w:style w:type="character" w:customStyle="1" w:styleId="MenuOption">
    <w:name w:val="Menu Option"/>
    <w:basedOn w:val="DefaultParagraphFont"/>
    <w:rsid w:val="00315B5B"/>
    <w:rPr>
      <w:b/>
      <w:smallCaps/>
    </w:rPr>
  </w:style>
  <w:style w:type="paragraph" w:customStyle="1" w:styleId="TableListNumber">
    <w:name w:val="Table List Number"/>
    <w:basedOn w:val="ListNumber"/>
    <w:rsid w:val="00315B5B"/>
    <w:pPr>
      <w:numPr>
        <w:numId w:val="0"/>
      </w:numPr>
    </w:pPr>
  </w:style>
  <w:style w:type="paragraph" w:styleId="TOC4">
    <w:name w:val="toc 4"/>
    <w:basedOn w:val="TOCBase"/>
    <w:next w:val="Normal"/>
    <w:semiHidden/>
    <w:rsid w:val="00315B5B"/>
    <w:pPr>
      <w:tabs>
        <w:tab w:val="right" w:leader="dot" w:pos="9071"/>
      </w:tabs>
      <w:ind w:left="1701"/>
    </w:pPr>
  </w:style>
  <w:style w:type="paragraph" w:customStyle="1" w:styleId="ListAlpha">
    <w:name w:val="List Alpha"/>
    <w:basedOn w:val="List"/>
    <w:rsid w:val="00315B5B"/>
    <w:pPr>
      <w:numPr>
        <w:numId w:val="9"/>
      </w:numPr>
    </w:pPr>
  </w:style>
  <w:style w:type="paragraph" w:customStyle="1" w:styleId="ListAlpha2">
    <w:name w:val="List Alpha 2"/>
    <w:basedOn w:val="List2"/>
    <w:rsid w:val="00315B5B"/>
    <w:pPr>
      <w:numPr>
        <w:numId w:val="8"/>
      </w:numPr>
    </w:pPr>
  </w:style>
  <w:style w:type="paragraph" w:styleId="List2">
    <w:name w:val="List 2"/>
    <w:basedOn w:val="BodyText"/>
    <w:rsid w:val="00315B5B"/>
    <w:pPr>
      <w:tabs>
        <w:tab w:val="left" w:pos="680"/>
      </w:tabs>
      <w:spacing w:before="60" w:after="60"/>
      <w:ind w:left="680" w:hanging="340"/>
    </w:pPr>
  </w:style>
  <w:style w:type="paragraph" w:styleId="List3">
    <w:name w:val="List 3"/>
    <w:basedOn w:val="BodyText"/>
    <w:rsid w:val="00315B5B"/>
    <w:pPr>
      <w:tabs>
        <w:tab w:val="left" w:pos="1021"/>
      </w:tabs>
      <w:spacing w:before="60" w:after="60"/>
      <w:ind w:left="1020" w:hanging="340"/>
    </w:pPr>
  </w:style>
  <w:style w:type="paragraph" w:styleId="List4">
    <w:name w:val="List 4"/>
    <w:basedOn w:val="BodyText"/>
    <w:rsid w:val="00315B5B"/>
    <w:pPr>
      <w:tabs>
        <w:tab w:val="left" w:pos="1361"/>
      </w:tabs>
      <w:spacing w:before="60" w:after="60"/>
      <w:ind w:left="1361" w:hanging="340"/>
    </w:pPr>
  </w:style>
  <w:style w:type="paragraph" w:styleId="List5">
    <w:name w:val="List 5"/>
    <w:basedOn w:val="BodyText"/>
    <w:rsid w:val="00315B5B"/>
    <w:pPr>
      <w:tabs>
        <w:tab w:val="left" w:pos="1701"/>
      </w:tabs>
      <w:spacing w:before="60" w:after="60"/>
      <w:ind w:left="1701" w:hanging="340"/>
    </w:pPr>
  </w:style>
  <w:style w:type="paragraph" w:styleId="ListBullet3">
    <w:name w:val="List Bullet 3"/>
    <w:basedOn w:val="List3"/>
    <w:rsid w:val="00315B5B"/>
    <w:pPr>
      <w:numPr>
        <w:numId w:val="14"/>
      </w:numPr>
      <w:tabs>
        <w:tab w:val="clear" w:pos="1021"/>
      </w:tabs>
      <w:ind w:left="1037" w:hanging="357"/>
    </w:pPr>
  </w:style>
  <w:style w:type="paragraph" w:styleId="ListBullet4">
    <w:name w:val="List Bullet 4"/>
    <w:basedOn w:val="List4"/>
    <w:rsid w:val="00315B5B"/>
    <w:pPr>
      <w:numPr>
        <w:numId w:val="3"/>
      </w:numPr>
      <w:tabs>
        <w:tab w:val="clear" w:pos="1361"/>
      </w:tabs>
    </w:pPr>
  </w:style>
  <w:style w:type="paragraph" w:styleId="ListBullet5">
    <w:name w:val="List Bullet 5"/>
    <w:basedOn w:val="List5"/>
    <w:rsid w:val="00315B5B"/>
    <w:pPr>
      <w:numPr>
        <w:numId w:val="4"/>
      </w:numPr>
    </w:pPr>
  </w:style>
  <w:style w:type="paragraph" w:styleId="ListContinue2">
    <w:name w:val="List Continue 2"/>
    <w:basedOn w:val="List2"/>
    <w:rsid w:val="00315B5B"/>
    <w:pPr>
      <w:ind w:firstLine="0"/>
    </w:pPr>
  </w:style>
  <w:style w:type="paragraph" w:styleId="ListContinue3">
    <w:name w:val="List Continue 3"/>
    <w:basedOn w:val="List3"/>
    <w:rsid w:val="00315B5B"/>
    <w:pPr>
      <w:ind w:left="1021" w:firstLine="0"/>
    </w:pPr>
  </w:style>
  <w:style w:type="paragraph" w:styleId="ListContinue4">
    <w:name w:val="List Continue 4"/>
    <w:basedOn w:val="List4"/>
    <w:rsid w:val="00315B5B"/>
    <w:pPr>
      <w:ind w:firstLine="0"/>
    </w:pPr>
  </w:style>
  <w:style w:type="paragraph" w:styleId="ListContinue5">
    <w:name w:val="List Continue 5"/>
    <w:basedOn w:val="List5"/>
    <w:rsid w:val="00315B5B"/>
    <w:pPr>
      <w:ind w:firstLine="0"/>
    </w:pPr>
  </w:style>
  <w:style w:type="paragraph" w:styleId="ListNumber3">
    <w:name w:val="List Number 3"/>
    <w:basedOn w:val="List3"/>
    <w:rsid w:val="00315B5B"/>
    <w:pPr>
      <w:numPr>
        <w:numId w:val="5"/>
      </w:numPr>
    </w:pPr>
  </w:style>
  <w:style w:type="paragraph" w:styleId="ListNumber4">
    <w:name w:val="List Number 4"/>
    <w:basedOn w:val="List4"/>
    <w:rsid w:val="00315B5B"/>
    <w:pPr>
      <w:numPr>
        <w:numId w:val="6"/>
      </w:numPr>
    </w:pPr>
  </w:style>
  <w:style w:type="paragraph" w:styleId="ListNumber5">
    <w:name w:val="List Number 5"/>
    <w:basedOn w:val="List5"/>
    <w:rsid w:val="00315B5B"/>
    <w:pPr>
      <w:numPr>
        <w:numId w:val="7"/>
      </w:numPr>
    </w:pPr>
  </w:style>
  <w:style w:type="paragraph" w:styleId="BlockText">
    <w:name w:val="Block Text"/>
    <w:basedOn w:val="Normal"/>
    <w:rsid w:val="00315B5B"/>
    <w:pPr>
      <w:spacing w:after="120"/>
      <w:ind w:left="1440" w:right="1440"/>
    </w:pPr>
  </w:style>
  <w:style w:type="character" w:customStyle="1" w:styleId="Subscript">
    <w:name w:val="Subscript"/>
    <w:basedOn w:val="DefaultParagraphFont"/>
    <w:rsid w:val="00315B5B"/>
    <w:rPr>
      <w:sz w:val="16"/>
      <w:vertAlign w:val="subscript"/>
    </w:rPr>
  </w:style>
  <w:style w:type="character" w:customStyle="1" w:styleId="Superscript">
    <w:name w:val="Superscript"/>
    <w:basedOn w:val="DefaultParagraphFont"/>
    <w:rsid w:val="00315B5B"/>
    <w:rPr>
      <w:sz w:val="16"/>
      <w:vertAlign w:val="superscript"/>
    </w:rPr>
  </w:style>
  <w:style w:type="character" w:customStyle="1" w:styleId="Symbols">
    <w:name w:val="Symbols"/>
    <w:basedOn w:val="DefaultParagraphFont"/>
    <w:rsid w:val="00315B5B"/>
    <w:rPr>
      <w:rFonts w:ascii="Symbol" w:hAnsi="Symbol"/>
    </w:rPr>
  </w:style>
  <w:style w:type="character" w:customStyle="1" w:styleId="MenuOptions">
    <w:name w:val="Menu Options"/>
    <w:basedOn w:val="DefaultParagraphFont"/>
    <w:rsid w:val="00315B5B"/>
    <w:rPr>
      <w:rFonts w:ascii="Arial Narrow" w:hAnsi="Arial Narrow"/>
      <w:smallCaps/>
    </w:rPr>
  </w:style>
  <w:style w:type="character" w:customStyle="1" w:styleId="Buttons">
    <w:name w:val="Buttons"/>
    <w:basedOn w:val="DefaultParagraphFont"/>
    <w:rsid w:val="00315B5B"/>
    <w:rPr>
      <w:b/>
    </w:rPr>
  </w:style>
  <w:style w:type="character" w:customStyle="1" w:styleId="Underlined">
    <w:name w:val="Underlined"/>
    <w:basedOn w:val="DefaultParagraphFont"/>
    <w:rsid w:val="00315B5B"/>
    <w:rPr>
      <w:u w:val="single"/>
    </w:rPr>
  </w:style>
  <w:style w:type="paragraph" w:customStyle="1" w:styleId="TableBodyTextRight">
    <w:name w:val="Table Body Text Right"/>
    <w:basedOn w:val="TableBodyText"/>
    <w:rsid w:val="00315B5B"/>
    <w:pPr>
      <w:widowControl w:val="0"/>
      <w:autoSpaceDE w:val="0"/>
      <w:autoSpaceDN w:val="0"/>
      <w:adjustRightInd w:val="0"/>
      <w:jc w:val="right"/>
    </w:pPr>
    <w:rPr>
      <w:rFonts w:cs="Arial"/>
      <w:szCs w:val="18"/>
    </w:rPr>
  </w:style>
  <w:style w:type="paragraph" w:customStyle="1" w:styleId="CopyrightText">
    <w:name w:val="Copyright Text"/>
    <w:basedOn w:val="BodyText"/>
    <w:rsid w:val="00315B5B"/>
    <w:rPr>
      <w:sz w:val="18"/>
    </w:rPr>
  </w:style>
  <w:style w:type="paragraph" w:customStyle="1" w:styleId="BodySmallRight">
    <w:name w:val="Body Small Right"/>
    <w:basedOn w:val="BodyTextRight"/>
    <w:rsid w:val="00315B5B"/>
    <w:rPr>
      <w:sz w:val="18"/>
      <w:szCs w:val="18"/>
    </w:rPr>
  </w:style>
  <w:style w:type="paragraph" w:customStyle="1" w:styleId="MarginEdition">
    <w:name w:val="Margin Edition"/>
    <w:basedOn w:val="MarginNote"/>
    <w:rsid w:val="00315B5B"/>
    <w:pPr>
      <w:spacing w:before="0" w:after="0"/>
    </w:pPr>
    <w:rPr>
      <w:rFonts w:ascii="Times New Roman" w:hAnsi="Times New Roman"/>
      <w:color w:val="999999"/>
    </w:rPr>
  </w:style>
  <w:style w:type="paragraph" w:customStyle="1" w:styleId="Spacer">
    <w:name w:val="Spacer"/>
    <w:basedOn w:val="Normal"/>
    <w:rsid w:val="00315B5B"/>
    <w:rPr>
      <w:sz w:val="2"/>
      <w:szCs w:val="2"/>
    </w:rPr>
  </w:style>
  <w:style w:type="character" w:customStyle="1" w:styleId="Small">
    <w:name w:val="Small"/>
    <w:basedOn w:val="DefaultParagraphFont"/>
    <w:rsid w:val="00315B5B"/>
    <w:rPr>
      <w:sz w:val="16"/>
    </w:rPr>
  </w:style>
  <w:style w:type="paragraph" w:customStyle="1" w:styleId="WideTable">
    <w:name w:val="Wide Table"/>
    <w:basedOn w:val="Normal"/>
    <w:rsid w:val="00315B5B"/>
    <w:pPr>
      <w:ind w:left="-1418"/>
    </w:pPr>
    <w:rPr>
      <w:sz w:val="2"/>
      <w:szCs w:val="2"/>
    </w:rPr>
  </w:style>
  <w:style w:type="character" w:styleId="PageNumber">
    <w:name w:val="page number"/>
    <w:basedOn w:val="DefaultParagraphFont"/>
    <w:rsid w:val="00315B5B"/>
  </w:style>
  <w:style w:type="paragraph" w:styleId="Quote">
    <w:name w:val="Quote"/>
    <w:basedOn w:val="Heading1"/>
    <w:link w:val="QuoteChar"/>
    <w:qFormat/>
    <w:rsid w:val="00315B5B"/>
    <w:rPr>
      <w:b w:val="0"/>
      <w:sz w:val="72"/>
      <w:szCs w:val="72"/>
      <w:lang w:val="en-NZ"/>
    </w:rPr>
  </w:style>
  <w:style w:type="character" w:customStyle="1" w:styleId="QuoteChar">
    <w:name w:val="Quote Char"/>
    <w:basedOn w:val="DefaultParagraphFont"/>
    <w:link w:val="Quote"/>
    <w:rsid w:val="00315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B5B"/>
    <w:pPr>
      <w:pageBreakBefore/>
    </w:pPr>
  </w:style>
  <w:style w:type="paragraph" w:customStyle="1" w:styleId="Border">
    <w:name w:val="Border"/>
    <w:basedOn w:val="Normal"/>
    <w:qFormat/>
    <w:rsid w:val="00315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B5B"/>
    <w:rPr>
      <w:b/>
      <w:bCs/>
      <w:i/>
      <w:iCs/>
      <w:color w:val="auto"/>
    </w:rPr>
  </w:style>
  <w:style w:type="paragraph" w:styleId="IntenseQuote">
    <w:name w:val="Intense Quote"/>
    <w:basedOn w:val="Normal"/>
    <w:next w:val="Normal"/>
    <w:link w:val="IntenseQuoteChar"/>
    <w:uiPriority w:val="30"/>
    <w:qFormat/>
    <w:rsid w:val="00315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B5B"/>
    <w:rPr>
      <w:smallCaps/>
      <w:color w:val="auto"/>
      <w:u w:val="single"/>
    </w:rPr>
  </w:style>
  <w:style w:type="character" w:styleId="IntenseReference">
    <w:name w:val="Intense Reference"/>
    <w:basedOn w:val="DefaultParagraphFont"/>
    <w:uiPriority w:val="32"/>
    <w:qFormat/>
    <w:rsid w:val="00315B5B"/>
    <w:rPr>
      <w:b/>
      <w:bCs/>
      <w:smallCaps/>
      <w:color w:val="auto"/>
      <w:spacing w:val="5"/>
      <w:u w:val="single"/>
    </w:rPr>
  </w:style>
  <w:style w:type="paragraph" w:customStyle="1" w:styleId="2ColumnHeading">
    <w:name w:val="2Column Heading"/>
    <w:basedOn w:val="BodyText"/>
    <w:qFormat/>
    <w:rsid w:val="00315B5B"/>
    <w:pPr>
      <w:spacing w:after="60"/>
      <w:ind w:left="-2268"/>
    </w:pPr>
    <w:rPr>
      <w:b/>
    </w:rPr>
  </w:style>
  <w:style w:type="paragraph" w:customStyle="1" w:styleId="Heading1TOC">
    <w:name w:val="Heading1 TOC"/>
    <w:basedOn w:val="Normal"/>
    <w:qFormat/>
    <w:rsid w:val="00315B5B"/>
    <w:pPr>
      <w:spacing w:before="240" w:after="120"/>
    </w:pPr>
    <w:rPr>
      <w:rFonts w:ascii="Times New Roman" w:hAnsi="Times New Roman"/>
      <w:b/>
      <w:sz w:val="32"/>
    </w:rPr>
  </w:style>
  <w:style w:type="paragraph" w:customStyle="1" w:styleId="Heading2TOC">
    <w:name w:val="Heading2 TOC"/>
    <w:basedOn w:val="Normal"/>
    <w:qFormat/>
    <w:rsid w:val="00315B5B"/>
    <w:pPr>
      <w:spacing w:before="240" w:after="60"/>
    </w:pPr>
    <w:rPr>
      <w:rFonts w:ascii="Times New Roman" w:hAnsi="Times New Roman"/>
      <w:b/>
      <w:sz w:val="28"/>
    </w:rPr>
  </w:style>
  <w:style w:type="character" w:customStyle="1" w:styleId="Underline">
    <w:name w:val="Underline"/>
    <w:basedOn w:val="DefaultParagraphFont"/>
    <w:qFormat/>
    <w:rsid w:val="00315B5B"/>
    <w:rPr>
      <w:u w:val="single"/>
    </w:rPr>
  </w:style>
  <w:style w:type="character" w:customStyle="1" w:styleId="BoldandItalics">
    <w:name w:val="Bold and Italics"/>
    <w:qFormat/>
    <w:rsid w:val="00315B5B"/>
    <w:rPr>
      <w:b/>
      <w:i/>
      <w:u w:val="none"/>
    </w:rPr>
  </w:style>
  <w:style w:type="paragraph" w:styleId="BalloonText">
    <w:name w:val="Balloon Text"/>
    <w:basedOn w:val="Normal"/>
    <w:link w:val="BalloonTextChar"/>
    <w:rsid w:val="00315B5B"/>
    <w:rPr>
      <w:rFonts w:ascii="Tahoma" w:hAnsi="Tahoma" w:cs="Tahoma"/>
      <w:sz w:val="16"/>
      <w:szCs w:val="16"/>
    </w:rPr>
  </w:style>
  <w:style w:type="character" w:customStyle="1" w:styleId="BalloonTextChar">
    <w:name w:val="Balloon Text Char"/>
    <w:basedOn w:val="DefaultParagraphFont"/>
    <w:link w:val="BalloonText"/>
    <w:rsid w:val="00315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B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B5B"/>
    <w:rPr>
      <w:b/>
      <w:color w:val="660033"/>
      <w:spacing w:val="0"/>
    </w:rPr>
  </w:style>
  <w:style w:type="paragraph" w:customStyle="1" w:styleId="Nameditemlist">
    <w:name w:val="Named item list"/>
    <w:basedOn w:val="BodyText"/>
    <w:qFormat/>
    <w:rsid w:val="00315B5B"/>
    <w:pPr>
      <w:tabs>
        <w:tab w:val="left" w:pos="2835"/>
      </w:tabs>
      <w:ind w:left="2835" w:hanging="2835"/>
    </w:pPr>
  </w:style>
  <w:style w:type="paragraph" w:customStyle="1" w:styleId="BodyTextnopadding">
    <w:name w:val="Body Text no padding"/>
    <w:basedOn w:val="BodyText"/>
    <w:qFormat/>
    <w:rsid w:val="00315B5B"/>
    <w:pPr>
      <w:spacing w:before="0" w:after="0"/>
    </w:pPr>
  </w:style>
  <w:style w:type="paragraph" w:customStyle="1" w:styleId="BodyTextBold">
    <w:name w:val="Body Text Bold"/>
    <w:basedOn w:val="BodyText"/>
    <w:qFormat/>
    <w:rsid w:val="00315B5B"/>
    <w:rPr>
      <w:b/>
    </w:rPr>
  </w:style>
  <w:style w:type="character" w:styleId="Hyperlink">
    <w:name w:val="Hyperlink"/>
    <w:basedOn w:val="DefaultParagraphFont"/>
    <w:uiPriority w:val="99"/>
    <w:unhideWhenUsed/>
    <w:rsid w:val="00AE05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5200</Characters>
  <Application>Microsoft Office Word</Application>
  <DocSecurity>0</DocSecurity>
  <Lines>130</Lines>
  <Paragraphs>81</Paragraphs>
  <ScaleCrop>false</ScaleCrop>
  <Company>Author-it Software Corporation Ltd.</Company>
  <LinksUpToDate>false</LinksUpToDate>
  <CharactersWithSpaces>5935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RIIMPG201D Connect and disconnect reefer refrigeration units</dc:title>
  <dc:subject>Approved</dc:subject>
  <dc:creator>PwC’s Skills for Australia</dc:creator>
  <cp:keywords>Release: 3</cp:keywords>
  <dc:description>Review Date: 12 April 2008</dc:description>
  <cp:lastModifiedBy>HSD_TPCMSd.prod</cp:lastModifiedBy>
  <cp:revision>3</cp:revision>
  <dcterms:created xsi:type="dcterms:W3CDTF">2021-01-25T10:24:00Z</dcterms:created>
  <dcterms:modified xsi:type="dcterms:W3CDTF">2021-01-25T10:24:00Z</dcterms:modified>
</cp:coreProperties>
</file>