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727" w:rsidP="001E1727">
      <w:pPr>
        <w:pStyle w:val="Title"/>
      </w:pPr>
      <w:r>
        <w:fldChar w:fldCharType="begin"/>
      </w:r>
      <w:r>
        <w:instrText xml:space="preserve"> TITLE   \* MERGEFORMAT </w:instrText>
      </w:r>
      <w:r>
        <w:fldChar w:fldCharType="separate"/>
      </w:r>
      <w:r>
        <w:t>Assessment Requirements for RIIMEX602D Establish and maintain surface mining ground control and slope stability systems</w:t>
      </w:r>
      <w:r>
        <w:fldChar w:fldCharType="end"/>
      </w:r>
    </w:p>
    <w:p w:rsidR="001E1727" w:rsidP="001E1727">
      <w:pPr>
        <w:pStyle w:val="Version"/>
        <w:sectPr w:rsidSect="00B269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69B5" w:rsidP="00B269B5">
      <w:pPr>
        <w:pStyle w:val="SuperHeading"/>
      </w:pPr>
      <w:r w:rsidRPr="00B269B5">
        <w:t>Assessment Requirements for RIIMEX602D Establish and maintain surface mining ground control and slope stability systems</w:t>
      </w:r>
    </w:p>
    <w:p w:rsidR="00000000" w:rsidRPr="00B269B5" w:rsidP="00B269B5">
      <w:pPr>
        <w:pStyle w:val="Heading1"/>
      </w:pPr>
      <w:bookmarkStart w:id="1" w:name="O_690394"/>
      <w:bookmarkEnd w:id="1"/>
      <w:r w:rsidRPr="00B269B5">
        <w:t>Modification History</w:t>
      </w:r>
    </w:p>
    <w:tbl>
      <w:tblPr>
        <w:tblW w:w="9390" w:type="dxa"/>
        <w:tblLayout w:type="fixed"/>
        <w:tblCellMar>
          <w:left w:w="62" w:type="dxa"/>
          <w:right w:w="62" w:type="dxa"/>
        </w:tblCellMar>
        <w:tblLook w:val="0000"/>
      </w:tblPr>
      <w:tblGrid>
        <w:gridCol w:w="1170"/>
        <w:gridCol w:w="8220"/>
      </w:tblGrid>
      <w:tr w:rsidTr="001E1727">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9B5">
            <w:pPr>
              <w:pStyle w:val="Heading4"/>
              <w:rPr>
                <w:lang w:val="en-NZ"/>
              </w:rPr>
            </w:pPr>
            <w:r w:rsidRPr="00B269B5">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9B5">
            <w:pPr>
              <w:pStyle w:val="Heading4"/>
              <w:rPr>
                <w:lang w:val="en-NZ"/>
              </w:rPr>
            </w:pPr>
            <w:r w:rsidRPr="00B269B5">
              <w:t>Comment</w:t>
            </w:r>
          </w:p>
        </w:tc>
      </w:tr>
      <w:tr w:rsidTr="001E1727">
        <w:tblPrEx>
          <w:tblW w:w="939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9B5">
            <w:pPr>
              <w:pStyle w:val="BodyText"/>
              <w:rPr>
                <w:lang w:val="en-NZ"/>
              </w:rPr>
            </w:pPr>
            <w:r w:rsidRPr="00B269B5">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9B5">
            <w:pPr>
              <w:pStyle w:val="BodyText"/>
              <w:rPr>
                <w:lang w:val="en-NZ"/>
              </w:rPr>
            </w:pPr>
            <w:r w:rsidRPr="00B269B5">
              <w:t>This unit replaces RIIMEX602A Establish and maintain surface mining ground control and slope stability systems</w:t>
            </w:r>
          </w:p>
        </w:tc>
      </w:tr>
      <w:tr w:rsidTr="001E1727">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9B5">
            <w:pPr>
              <w:pStyle w:val="BodyText"/>
              <w:rPr>
                <w:lang w:val="en-NZ"/>
              </w:rPr>
            </w:pPr>
            <w:r w:rsidRPr="00B269B5">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9B5" w:rsidP="00B269B5">
            <w:pPr>
              <w:pStyle w:val="BodyText"/>
            </w:pPr>
            <w:r w:rsidRPr="00B269B5">
              <w:t>Required frequency and volume of evidence amended in Performance evidence.</w:t>
            </w:r>
            <w:r w:rsidRPr="00B269B5">
              <w:br/>
              <w:t>Substantial amendments made in Assessment Conditions field, includi</w:t>
            </w:r>
            <w:r w:rsidRPr="00B269B5">
              <w:t>ng: references to Industry Sectors, assessor and subject matter expert experience requirements, how assessment should be conducted and what it should confirm.</w:t>
            </w:r>
          </w:p>
        </w:tc>
      </w:tr>
    </w:tbl>
    <w:p w:rsidR="00000000" w:rsidRPr="00B269B5" w:rsidP="00B269B5">
      <w:pPr>
        <w:pStyle w:val="BodyText"/>
      </w:pPr>
    </w:p>
    <w:p w:rsidR="00000000" w:rsidRPr="00B269B5" w:rsidP="00B269B5">
      <w:pPr>
        <w:pStyle w:val="AllowPageBreak"/>
      </w:pPr>
    </w:p>
    <w:p w:rsidR="00000000" w:rsidRPr="00B269B5" w:rsidP="00B269B5">
      <w:pPr>
        <w:pStyle w:val="Heading1"/>
      </w:pPr>
      <w:bookmarkStart w:id="2" w:name="O_690393"/>
      <w:bookmarkEnd w:id="2"/>
      <w:r w:rsidRPr="00B269B5">
        <w:t>Performance Evidence</w:t>
      </w:r>
    </w:p>
    <w:p w:rsidR="00000000" w:rsidRPr="00B269B5" w:rsidP="001E1727">
      <w:pPr>
        <w:pStyle w:val="BodyText"/>
      </w:pPr>
      <w:r w:rsidRPr="00B269B5">
        <w:t>Evidence is required to be collected that demonstrates a candidate’s competency in this unit. Evidence must be relevant to the roles within this sector’s work operations and satisfy all of the requirements of the performance criteria of this unit and inclu</w:t>
      </w:r>
      <w:r w:rsidRPr="00B269B5">
        <w:t>de that the candidate:</w:t>
      </w:r>
    </w:p>
    <w:p w:rsidR="00000000" w:rsidRPr="00B269B5" w:rsidP="00B269B5">
      <w:pPr>
        <w:pStyle w:val="ListBullet"/>
      </w:pPr>
      <w:r w:rsidRPr="00B269B5">
        <w:t>locates and applies relevant legislation, documentation, policies and procedures</w:t>
      </w:r>
    </w:p>
    <w:p w:rsidR="00000000" w:rsidRPr="00B269B5" w:rsidP="00B269B5">
      <w:pPr>
        <w:pStyle w:val="ListBullet"/>
      </w:pPr>
      <w:r w:rsidRPr="00B269B5">
        <w:t>implements the requirements, procedures and techniques for the safe, effective and efficient establishment and maintenance of surface mining ground con</w:t>
      </w:r>
      <w:r w:rsidRPr="00B269B5">
        <w:t>trol and slope stability systems including:</w:t>
      </w:r>
    </w:p>
    <w:p w:rsidR="00000000" w:rsidRPr="00B269B5" w:rsidP="00B269B5">
      <w:pPr>
        <w:pStyle w:val="ListBullet2"/>
      </w:pPr>
      <w:r w:rsidRPr="00B269B5">
        <w:t>accessing, interpreting and applying technical and mine survey information</w:t>
      </w:r>
    </w:p>
    <w:p w:rsidR="00000000" w:rsidRPr="00B269B5" w:rsidP="00B269B5">
      <w:pPr>
        <w:pStyle w:val="ListBullet2"/>
      </w:pPr>
      <w:r w:rsidRPr="00B269B5">
        <w:t xml:space="preserve">accessing and analysing archival and historical failure information </w:t>
      </w:r>
    </w:p>
    <w:p w:rsidR="00000000" w:rsidRPr="00B269B5" w:rsidP="00B269B5">
      <w:pPr>
        <w:pStyle w:val="ListBullet2"/>
      </w:pPr>
      <w:r w:rsidRPr="00B269B5">
        <w:t>interpreting and applying mathematical and scientific theorems/laws related to ground control and slope stability</w:t>
      </w:r>
    </w:p>
    <w:p w:rsidR="00000000" w:rsidRPr="00B269B5" w:rsidP="00B269B5">
      <w:pPr>
        <w:pStyle w:val="ListBullet2"/>
      </w:pPr>
      <w:r w:rsidRPr="00B269B5">
        <w:t>interpreting and applying design criteria for ground control and slope stability systems</w:t>
      </w:r>
    </w:p>
    <w:p w:rsidR="00000000" w:rsidRPr="00B269B5" w:rsidP="00B269B5">
      <w:pPr>
        <w:pStyle w:val="ListBullet2"/>
      </w:pPr>
      <w:r w:rsidRPr="00B269B5">
        <w:t>interpreting computer spreadsheets and mining systems</w:t>
      </w:r>
      <w:r w:rsidRPr="00B269B5">
        <w:t xml:space="preserve"> modelling/simulations</w:t>
      </w:r>
    </w:p>
    <w:p w:rsidR="00000000" w:rsidRPr="00B269B5" w:rsidP="00B269B5">
      <w:pPr>
        <w:pStyle w:val="ListBullet2"/>
      </w:pPr>
      <w:r w:rsidRPr="00B269B5">
        <w:t>accessing and interpreting data from monitoring systems and equipment</w:t>
      </w:r>
    </w:p>
    <w:p w:rsidR="00000000" w:rsidRPr="00B269B5" w:rsidP="00B269B5">
      <w:pPr>
        <w:pStyle w:val="ListBullet2"/>
      </w:pPr>
      <w:r w:rsidRPr="00B269B5">
        <w:t xml:space="preserve">applying risk management processes and techniques </w:t>
      </w:r>
    </w:p>
    <w:p w:rsidR="00000000" w:rsidRPr="00B269B5" w:rsidP="00B269B5">
      <w:pPr>
        <w:pStyle w:val="ListBullet"/>
      </w:pPr>
      <w:r w:rsidRPr="00B269B5">
        <w:t>works effectively with others to establish and maintain surface mining ground control and slope stability syste</w:t>
      </w:r>
      <w:r w:rsidRPr="00B269B5">
        <w:t>ms that meets all the required outcomes including:</w:t>
      </w:r>
    </w:p>
    <w:p w:rsidR="00000000" w:rsidRPr="00B269B5" w:rsidP="00B269B5">
      <w:pPr>
        <w:pStyle w:val="ListBullet2"/>
      </w:pPr>
      <w:r w:rsidRPr="00B269B5">
        <w:t>consulting with surface mining team and provides team leadership</w:t>
      </w:r>
    </w:p>
    <w:p w:rsidR="00000000" w:rsidRPr="00B269B5" w:rsidP="00B269B5">
      <w:pPr>
        <w:pStyle w:val="ListBullet2"/>
      </w:pPr>
      <w:r w:rsidRPr="00B269B5">
        <w:t>sharing information and communicating effectively in the workplace</w:t>
      </w:r>
    </w:p>
    <w:p w:rsidR="00000000" w:rsidRPr="00B269B5" w:rsidP="00B269B5">
      <w:pPr>
        <w:pStyle w:val="ListBullet2"/>
      </w:pPr>
      <w:r w:rsidRPr="00B269B5">
        <w:t>establishing training, coaching and mentoring support for supervisors an</w:t>
      </w:r>
      <w:r w:rsidRPr="00B269B5">
        <w:t>d managers</w:t>
      </w:r>
    </w:p>
    <w:p w:rsidR="00000000" w:rsidRPr="00B269B5" w:rsidP="00B269B5">
      <w:pPr>
        <w:pStyle w:val="ListBullet2"/>
      </w:pPr>
      <w:r w:rsidRPr="00B269B5">
        <w:t>preparing written reports communicating the pit development status and outcomes</w:t>
      </w:r>
    </w:p>
    <w:p w:rsidR="00000000" w:rsidRPr="00B269B5" w:rsidP="00B269B5">
      <w:pPr>
        <w:pStyle w:val="ListBullet"/>
      </w:pPr>
      <w:r w:rsidRPr="00B269B5">
        <w:t>demonstrates completion of establishing and maintaining surface mining ground control and slope stability systems that safely, effectively and efficiently meets all</w:t>
      </w:r>
      <w:r w:rsidRPr="00B269B5">
        <w:t xml:space="preserve"> of the required outcomes on more than one (1) occasion including:</w:t>
      </w:r>
    </w:p>
    <w:p w:rsidR="00000000" w:rsidRPr="00B269B5" w:rsidP="00B269B5">
      <w:pPr>
        <w:pStyle w:val="ListBullet2"/>
      </w:pPr>
      <w:r w:rsidRPr="00B269B5">
        <w:t>performing mathematical calculations</w:t>
      </w:r>
    </w:p>
    <w:p w:rsidR="00000000" w:rsidRPr="00B269B5" w:rsidP="00B269B5">
      <w:pPr>
        <w:pStyle w:val="ListBullet2"/>
      </w:pPr>
      <w:r w:rsidRPr="00B269B5">
        <w:t>collecting, collating and interpreting mining data</w:t>
      </w:r>
    </w:p>
    <w:p w:rsidR="00000000" w:rsidRPr="00B269B5" w:rsidP="00B269B5">
      <w:pPr>
        <w:pStyle w:val="ListBullet2"/>
      </w:pPr>
      <w:r w:rsidRPr="00B269B5">
        <w:t>preparing technical procedures</w:t>
      </w:r>
    </w:p>
    <w:p w:rsidR="00000000" w:rsidRPr="00B269B5" w:rsidP="00B269B5">
      <w:pPr>
        <w:pStyle w:val="ListBullet2"/>
      </w:pPr>
      <w:r w:rsidRPr="00B269B5">
        <w:t>conducting enquiries/investigations and preparing reports</w:t>
      </w:r>
    </w:p>
    <w:p w:rsidR="00000000" w:rsidRPr="00B269B5" w:rsidP="00B269B5">
      <w:pPr>
        <w:pStyle w:val="ListBullet2"/>
      </w:pPr>
      <w:r w:rsidRPr="00B269B5">
        <w:t>analysing and reporting on ground control and slope stability system training needs</w:t>
      </w:r>
    </w:p>
    <w:p w:rsidR="00000000" w:rsidRPr="00B269B5" w:rsidP="00B269B5">
      <w:pPr>
        <w:pStyle w:val="ListBullet2"/>
      </w:pPr>
      <w:r w:rsidRPr="00B269B5">
        <w:t>preparing and establishing systems and procedures</w:t>
      </w:r>
    </w:p>
    <w:p w:rsidR="00000000" w:rsidRPr="00B269B5" w:rsidP="00B269B5">
      <w:pPr>
        <w:pStyle w:val="AllowPageBreak"/>
      </w:pPr>
    </w:p>
    <w:p w:rsidR="00000000" w:rsidRPr="00B269B5" w:rsidP="00B269B5">
      <w:pPr>
        <w:pStyle w:val="Heading1"/>
      </w:pPr>
      <w:bookmarkStart w:id="3" w:name="O_690392"/>
      <w:bookmarkEnd w:id="3"/>
      <w:r w:rsidRPr="00B269B5">
        <w:t>Knowledge Evidence</w:t>
      </w:r>
    </w:p>
    <w:p w:rsidR="00000000" w:rsidRPr="00B269B5" w:rsidP="001E1727">
      <w:pPr>
        <w:pStyle w:val="BodyText"/>
      </w:pPr>
      <w:r w:rsidRPr="00B269B5">
        <w:t>The candidate must demonstrate knowledge in establishing and maintaining surface minin</w:t>
      </w:r>
      <w:r w:rsidRPr="00B269B5">
        <w:t>g ground control and slope stability systems through:</w:t>
      </w:r>
    </w:p>
    <w:p w:rsidR="00000000" w:rsidRPr="00B269B5" w:rsidP="00B269B5">
      <w:pPr>
        <w:pStyle w:val="ListBullet"/>
      </w:pPr>
      <w:r w:rsidRPr="00B269B5">
        <w:t>the legislative, organisation and site requirements and procedures for:</w:t>
      </w:r>
    </w:p>
    <w:p w:rsidR="00000000" w:rsidRPr="00B269B5" w:rsidP="00B269B5">
      <w:pPr>
        <w:pStyle w:val="ListBullet2"/>
      </w:pPr>
      <w:r w:rsidRPr="00B269B5">
        <w:t xml:space="preserve">work health and safety </w:t>
      </w:r>
    </w:p>
    <w:p w:rsidR="00000000" w:rsidRPr="00B269B5" w:rsidP="00B269B5">
      <w:pPr>
        <w:pStyle w:val="ListBullet2"/>
      </w:pPr>
      <w:r w:rsidRPr="00B269B5">
        <w:t>mine planning and design</w:t>
      </w:r>
    </w:p>
    <w:p w:rsidR="00000000" w:rsidRPr="00B269B5" w:rsidP="00B269B5">
      <w:pPr>
        <w:pStyle w:val="ListBullet2"/>
      </w:pPr>
      <w:r w:rsidRPr="00B269B5">
        <w:t>training systems</w:t>
      </w:r>
    </w:p>
    <w:p w:rsidR="00000000" w:rsidRPr="00B269B5" w:rsidP="00B269B5">
      <w:pPr>
        <w:pStyle w:val="ListBullet2"/>
      </w:pPr>
      <w:r w:rsidRPr="00B269B5">
        <w:t>emergency response and evacuation planning</w:t>
      </w:r>
    </w:p>
    <w:p w:rsidR="00000000" w:rsidRPr="00B269B5" w:rsidP="00B269B5">
      <w:pPr>
        <w:pStyle w:val="ListBullet"/>
      </w:pPr>
      <w:r w:rsidRPr="00B269B5">
        <w:t>critical data incl</w:t>
      </w:r>
      <w:r w:rsidRPr="00B269B5">
        <w:t>uding:</w:t>
      </w:r>
    </w:p>
    <w:p w:rsidR="00000000" w:rsidRPr="00B269B5" w:rsidP="00B269B5">
      <w:pPr>
        <w:pStyle w:val="ListBullet2"/>
      </w:pPr>
      <w:r w:rsidRPr="00B269B5">
        <w:t>geological, geotechnical, hydrogeological data</w:t>
      </w:r>
    </w:p>
    <w:p w:rsidR="00000000" w:rsidRPr="00B269B5" w:rsidP="00B269B5">
      <w:pPr>
        <w:pStyle w:val="ListBullet2"/>
      </w:pPr>
      <w:r w:rsidRPr="00B269B5">
        <w:t>hydrological data</w:t>
      </w:r>
    </w:p>
    <w:p w:rsidR="00000000" w:rsidRPr="00B269B5" w:rsidP="00B269B5">
      <w:pPr>
        <w:pStyle w:val="ListBullet2"/>
      </w:pPr>
      <w:r w:rsidRPr="00B269B5">
        <w:t>survey data</w:t>
      </w:r>
    </w:p>
    <w:p w:rsidR="00000000" w:rsidRPr="00B269B5" w:rsidP="00B269B5">
      <w:pPr>
        <w:pStyle w:val="ListBullet"/>
      </w:pPr>
      <w:r w:rsidRPr="00B269B5">
        <w:t>audit methodologies</w:t>
      </w:r>
    </w:p>
    <w:p w:rsidR="00000000" w:rsidRPr="00B269B5" w:rsidP="00B269B5">
      <w:pPr>
        <w:pStyle w:val="ListBullet"/>
      </w:pPr>
      <w:r w:rsidRPr="00B269B5">
        <w:t>exploration techniques</w:t>
      </w:r>
    </w:p>
    <w:p w:rsidR="00000000" w:rsidRPr="00B269B5" w:rsidP="00B269B5">
      <w:pPr>
        <w:pStyle w:val="ListBullet"/>
      </w:pPr>
      <w:r w:rsidRPr="00B269B5">
        <w:t>ground support methods and systems</w:t>
      </w:r>
    </w:p>
    <w:p w:rsidR="00000000" w:rsidRPr="00B269B5" w:rsidP="00B269B5">
      <w:pPr>
        <w:pStyle w:val="ListBullet"/>
      </w:pPr>
      <w:r w:rsidRPr="00B269B5">
        <w:t>mining and general engineering principles</w:t>
      </w:r>
    </w:p>
    <w:p w:rsidR="00000000" w:rsidRPr="00B269B5" w:rsidP="00B269B5">
      <w:pPr>
        <w:pStyle w:val="ListBullet"/>
      </w:pPr>
      <w:r w:rsidRPr="00B269B5">
        <w:t>mining structure failure modes</w:t>
      </w:r>
    </w:p>
    <w:p w:rsidR="00000000" w:rsidRPr="00B269B5" w:rsidP="00B269B5">
      <w:pPr>
        <w:pStyle w:val="ListBullet"/>
      </w:pPr>
      <w:r w:rsidRPr="00B269B5">
        <w:t>slope stability criteria</w:t>
      </w:r>
    </w:p>
    <w:p w:rsidR="00000000" w:rsidRPr="00B269B5" w:rsidP="00B269B5">
      <w:pPr>
        <w:pStyle w:val="ListBullet"/>
      </w:pPr>
      <w:r w:rsidRPr="00B269B5">
        <w:t>stress analysis techniques including mining induced stress, vertical and horizontal stress tectonics</w:t>
      </w:r>
    </w:p>
    <w:p w:rsidR="00000000" w:rsidRPr="00B269B5" w:rsidP="00B269B5">
      <w:pPr>
        <w:pStyle w:val="AllowPageBreak"/>
      </w:pPr>
    </w:p>
    <w:p w:rsidR="00000000" w:rsidRPr="00B269B5" w:rsidP="00B269B5">
      <w:pPr>
        <w:pStyle w:val="Heading1"/>
      </w:pPr>
      <w:bookmarkStart w:id="4" w:name="O_690391"/>
      <w:bookmarkEnd w:id="4"/>
      <w:r w:rsidRPr="00B269B5">
        <w:t>Assessment Conditions</w:t>
      </w:r>
    </w:p>
    <w:p w:rsidR="00000000" w:rsidRPr="00B269B5" w:rsidP="00B269B5">
      <w:pPr>
        <w:pStyle w:val="ListBullet"/>
      </w:pPr>
      <w:r w:rsidRPr="00B269B5">
        <w:t>An assessor of this unit must satisfy the requirements of the NVR/AQTF or their successors</w:t>
      </w:r>
      <w:r w:rsidRPr="00B269B5">
        <w:t xml:space="preserve">; and Industry regulations for certification and licensing; and, </w:t>
      </w:r>
    </w:p>
    <w:p w:rsidR="00000000" w:rsidRPr="00B269B5" w:rsidP="00B269B5">
      <w:pPr>
        <w:pStyle w:val="ListBullet"/>
      </w:pPr>
      <w:r w:rsidRPr="00B269B5">
        <w:t>this unit is best assessed in the context of this sector’s work environment;</w:t>
      </w:r>
    </w:p>
    <w:p w:rsidR="00000000" w:rsidRPr="00B269B5" w:rsidP="00B269B5">
      <w:pPr>
        <w:pStyle w:val="ListBullet"/>
      </w:pPr>
      <w:r w:rsidRPr="00B269B5">
        <w:t>where personal safety or environmental damage are limiting factors, assessment may occur in a simulated environme</w:t>
      </w:r>
      <w:r w:rsidRPr="00B269B5">
        <w:t>nt provided it is realistic and sufficiently rigorous to cover all aspects of this sector’s workplace performance, including environment, task skills, task management skills, contingency management skills and job role environment skills; and,</w:t>
      </w:r>
    </w:p>
    <w:p w:rsidR="00000000" w:rsidRPr="00B269B5" w:rsidP="00B269B5">
      <w:pPr>
        <w:pStyle w:val="ListBullet"/>
      </w:pPr>
      <w:r w:rsidRPr="00B269B5">
        <w:t>this unit mus</w:t>
      </w:r>
      <w:r w:rsidRPr="00B269B5">
        <w:t>t be assessed in compliance with relevant legislation/regulation and using policies, procedures, processes and operational manuals directly related to the industry sector for which it is being assessed; and,</w:t>
      </w:r>
    </w:p>
    <w:p w:rsidR="00000000" w:rsidRPr="00B269B5" w:rsidP="00B269B5">
      <w:pPr>
        <w:pStyle w:val="ListBullet"/>
      </w:pPr>
      <w:r w:rsidRPr="00B269B5">
        <w:t xml:space="preserve">assessment may be conducted in conjunction with </w:t>
      </w:r>
      <w:r w:rsidRPr="00B269B5">
        <w:t>the assessment of other Units of Competency; and,</w:t>
      </w:r>
    </w:p>
    <w:p w:rsidR="00000000" w:rsidRPr="00B269B5" w:rsidP="00B269B5">
      <w:pPr>
        <w:pStyle w:val="ListBullet"/>
      </w:pPr>
      <w:r w:rsidRPr="00B269B5">
        <w:t>assessment must confirm consistent performance can be applied in a range of relevant workplace circumstances; and,</w:t>
      </w:r>
    </w:p>
    <w:p w:rsidR="00000000" w:rsidRPr="00B269B5" w:rsidP="00B269B5">
      <w:pPr>
        <w:pStyle w:val="ListBullet"/>
      </w:pPr>
      <w:r w:rsidRPr="00B269B5">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269B5" w:rsidP="00B269B5">
      <w:pPr>
        <w:pStyle w:val="ListBullet"/>
      </w:pPr>
      <w:r w:rsidRPr="00B269B5">
        <w:t>wh</w:t>
      </w:r>
      <w:r w:rsidRPr="00B269B5">
        <w:t>ere the assessor does not meet experience requirements a co-assessment or partnership arrangement must exist between the qualified assessor and an Industry subject matter expert. The Industry subject matter expert should hold the unit being assessed (or an</w:t>
      </w:r>
      <w:r w:rsidRPr="00B269B5">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B269B5">
        <w:t>cluding time spent in roles related to the unit being assessed; and,</w:t>
      </w:r>
    </w:p>
    <w:p w:rsidR="00000000" w:rsidRPr="00B269B5" w:rsidP="00B269B5">
      <w:pPr>
        <w:pStyle w:val="ListBullet"/>
      </w:pPr>
      <w:r w:rsidRPr="00B269B5">
        <w:t>assessor and Industry subject matter expert requirements differ depending on the Australian Qualifications Framework Level (AQF) of the qualification being assessed and/or Industry Sector</w:t>
      </w:r>
      <w:r w:rsidRPr="00B269B5">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B269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Heading4"/>
              <w:rPr>
                <w:lang w:val="en-NZ"/>
              </w:rPr>
            </w:pPr>
            <w:r w:rsidRPr="00B269B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Heading4"/>
              <w:rPr>
                <w:lang w:val="en-NZ"/>
              </w:rPr>
            </w:pPr>
            <w:r w:rsidRPr="00B269B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Heading4"/>
              <w:rPr>
                <w:lang w:val="en-NZ"/>
              </w:rPr>
            </w:pPr>
            <w:r w:rsidRPr="00B269B5">
              <w:t>Required assessor or Industry subject matter expert experience</w:t>
            </w:r>
          </w:p>
        </w:tc>
      </w:tr>
      <w:tr w:rsidTr="00B269B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1 Year</w:t>
            </w:r>
          </w:p>
        </w:tc>
      </w:tr>
      <w:tr w:rsidTr="00B269B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2 Years</w:t>
            </w:r>
          </w:p>
        </w:tc>
      </w:tr>
      <w:tr w:rsidTr="00B269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3 Years</w:t>
            </w:r>
          </w:p>
        </w:tc>
      </w:tr>
      <w:tr w:rsidTr="00B269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5 Years</w:t>
            </w:r>
          </w:p>
        </w:tc>
      </w:tr>
      <w:tr w:rsidTr="00B269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9B5">
            <w:pPr>
              <w:pStyle w:val="BodyText"/>
              <w:rPr>
                <w:lang w:val="en-NZ"/>
              </w:rPr>
            </w:pPr>
            <w:r w:rsidRPr="00B269B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69B5" w:rsidP="00B269B5">
            <w:pPr>
              <w:pStyle w:val="BodyText"/>
            </w:pPr>
            <w:r w:rsidRPr="00B269B5">
              <w:t>Where this Unit is being assessed outside of the Resources and Infrastructure Sectors assessor and/or Industry subject matter expert experience should be in-line with industry standards for the sector in which it is being assessed and where no Industry sta</w:t>
            </w:r>
            <w:r w:rsidRPr="00B269B5">
              <w:t>ndard is specified should comply with any relevant regulation.</w:t>
            </w:r>
          </w:p>
        </w:tc>
      </w:tr>
    </w:tbl>
    <w:p w:rsidR="00000000" w:rsidRPr="00B269B5" w:rsidP="001E1727">
      <w:pPr>
        <w:pStyle w:val="BodyText"/>
      </w:pPr>
      <w:r w:rsidRPr="00B269B5">
        <w:t>*Assessors can demonstrate current work experience through employment within Industry in a role relevant to the outcomes of the Unit; or, for external assessors this can be demonstrated throu</w:t>
      </w:r>
      <w:r w:rsidRPr="00B269B5">
        <w:t>gh exposure to Industry by conducting frequent site assessments across various locations.</w:t>
      </w:r>
    </w:p>
    <w:p w:rsidR="00000000" w:rsidRPr="00B269B5" w:rsidP="001E1727">
      <w:pPr>
        <w:pStyle w:val="BodyText"/>
      </w:pPr>
      <w:r w:rsidRPr="00B269B5">
        <w:t>**Where a unit is being delivered outside of a Qualification the first numeric character in the Unit code should be considered to indicate the AQF level</w:t>
      </w:r>
    </w:p>
    <w:p w:rsidR="00000000" w:rsidRPr="00B269B5" w:rsidP="00B269B5">
      <w:pPr>
        <w:pStyle w:val="Heading1"/>
      </w:pPr>
      <w:bookmarkStart w:id="5" w:name="O_690403"/>
      <w:bookmarkEnd w:id="5"/>
      <w:r w:rsidRPr="00B269B5">
        <w:t>Links</w:t>
      </w:r>
    </w:p>
    <w:p w:rsidR="00000000" w:rsidRPr="00B269B5" w:rsidP="001E1727">
      <w:pPr>
        <w:pStyle w:val="BodyText"/>
      </w:pPr>
      <w:r w:rsidRPr="00B269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15A76">
        <w:rPr>
          <w:rStyle w:val="Hyperlink"/>
        </w:rPr>
        <w:t>https://vetnet.gov.au/Pages/TrainingDocs.aspx?q=88a61002-9a21-4386-aaf8-69c76e675272</w:t>
      </w:r>
      <w:r>
        <w:fldChar w:fldCharType="end"/>
      </w:r>
    </w:p>
    <w:p w:rsidR="00000000" w:rsidRPr="00B269B5" w:rsidP="00B269B5"/>
    <w:sectPr w:rsidSect="00B269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B5" w:rsidRPr="001E1727" w:rsidP="001E1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27" w:rsidP="00B269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1727" w:rsidP="00B269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E1727" w:rsidP="00B269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9B5" w:rsidRPr="001E1727" w:rsidP="001E17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27" w:rsidRPr="002D2AF8" w:rsidP="00B269B5">
    <w:pPr>
      <w:pStyle w:val="Header"/>
      <w:framePr w:wrap="around"/>
    </w:pPr>
    <w:r>
      <w:fldChar w:fldCharType="begin"/>
    </w:r>
    <w:r>
      <w:instrText xml:space="preserve"> TITLE   \* MERGEFORMAT </w:instrText>
    </w:r>
    <w:r>
      <w:fldChar w:fldCharType="separate"/>
    </w:r>
    <w:r>
      <w:t>Assessment Requirements for RIIMEX602D Establish and maintain surface mining ground control and slope stability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E1727" w:rsidP="00B269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E8D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AE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CE5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9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9B5"/>
    <w:pPr>
      <w:spacing w:before="360" w:after="60"/>
      <w:outlineLvl w:val="0"/>
    </w:pPr>
    <w:rPr>
      <w:sz w:val="32"/>
    </w:rPr>
  </w:style>
  <w:style w:type="paragraph" w:styleId="Heading2">
    <w:name w:val="heading 2"/>
    <w:basedOn w:val="HeadingBase"/>
    <w:next w:val="BodyText"/>
    <w:link w:val="Heading2Char"/>
    <w:qFormat/>
    <w:rsid w:val="00B269B5"/>
    <w:pPr>
      <w:keepLines/>
      <w:spacing w:before="240" w:after="120"/>
      <w:outlineLvl w:val="1"/>
    </w:pPr>
    <w:rPr>
      <w:sz w:val="28"/>
      <w:szCs w:val="40"/>
    </w:rPr>
  </w:style>
  <w:style w:type="paragraph" w:styleId="Heading3">
    <w:name w:val="heading 3"/>
    <w:basedOn w:val="HeadingBase"/>
    <w:next w:val="BodyText"/>
    <w:link w:val="Heading3Char"/>
    <w:qFormat/>
    <w:rsid w:val="00B269B5"/>
    <w:pPr>
      <w:spacing w:before="180" w:after="120"/>
      <w:outlineLvl w:val="2"/>
    </w:pPr>
    <w:rPr>
      <w:spacing w:val="-10"/>
      <w:kern w:val="32"/>
    </w:rPr>
  </w:style>
  <w:style w:type="paragraph" w:styleId="Heading4">
    <w:name w:val="heading 4"/>
    <w:basedOn w:val="HeadingBase"/>
    <w:next w:val="BodyText"/>
    <w:link w:val="Heading4Char"/>
    <w:qFormat/>
    <w:rsid w:val="00B269B5"/>
    <w:pPr>
      <w:spacing w:before="160" w:after="120"/>
      <w:outlineLvl w:val="3"/>
    </w:pPr>
    <w:rPr>
      <w:sz w:val="22"/>
    </w:rPr>
  </w:style>
  <w:style w:type="paragraph" w:styleId="Heading5">
    <w:name w:val="heading 5"/>
    <w:basedOn w:val="HeadingBase"/>
    <w:next w:val="Normal"/>
    <w:link w:val="Heading5Char"/>
    <w:qFormat/>
    <w:rsid w:val="00B269B5"/>
    <w:pPr>
      <w:spacing w:before="80"/>
      <w:outlineLvl w:val="4"/>
    </w:pPr>
    <w:rPr>
      <w:color w:val="918585"/>
      <w:sz w:val="20"/>
    </w:rPr>
  </w:style>
  <w:style w:type="paragraph" w:styleId="Heading6">
    <w:name w:val="heading 6"/>
    <w:basedOn w:val="HeadingBase"/>
    <w:next w:val="Normal"/>
    <w:link w:val="Heading6Char"/>
    <w:qFormat/>
    <w:rsid w:val="00B269B5"/>
    <w:pPr>
      <w:spacing w:before="60"/>
      <w:outlineLvl w:val="5"/>
    </w:pPr>
    <w:rPr>
      <w:color w:val="918585"/>
      <w:sz w:val="20"/>
    </w:rPr>
  </w:style>
  <w:style w:type="paragraph" w:styleId="Heading7">
    <w:name w:val="heading 7"/>
    <w:basedOn w:val="Normal"/>
    <w:next w:val="Normal"/>
    <w:link w:val="Heading7Char"/>
    <w:qFormat/>
    <w:rsid w:val="00B269B5"/>
    <w:pPr>
      <w:ind w:left="720"/>
      <w:outlineLvl w:val="6"/>
    </w:pPr>
    <w:rPr>
      <w:i/>
    </w:rPr>
  </w:style>
  <w:style w:type="paragraph" w:styleId="Heading8">
    <w:name w:val="heading 8"/>
    <w:basedOn w:val="Normal"/>
    <w:next w:val="Normal"/>
    <w:link w:val="Heading8Char"/>
    <w:qFormat/>
    <w:rsid w:val="00B269B5"/>
    <w:pPr>
      <w:ind w:left="720"/>
      <w:outlineLvl w:val="7"/>
    </w:pPr>
    <w:rPr>
      <w:i/>
    </w:rPr>
  </w:style>
  <w:style w:type="paragraph" w:styleId="Heading9">
    <w:name w:val="heading 9"/>
    <w:basedOn w:val="Normal"/>
    <w:next w:val="Normal"/>
    <w:link w:val="Heading9Char"/>
    <w:qFormat/>
    <w:rsid w:val="00B269B5"/>
    <w:pPr>
      <w:ind w:left="720"/>
      <w:outlineLvl w:val="8"/>
    </w:pPr>
    <w:rPr>
      <w:i/>
    </w:rPr>
  </w:style>
  <w:style w:type="character" w:default="1" w:styleId="DefaultParagraphFont">
    <w:name w:val="Default Paragraph Font"/>
    <w:uiPriority w:val="1"/>
    <w:unhideWhenUsed/>
    <w:rsid w:val="00B26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9B5"/>
  </w:style>
  <w:style w:type="character" w:customStyle="1" w:styleId="Heading1Char">
    <w:name w:val="Heading 1 Char"/>
    <w:basedOn w:val="DefaultParagraphFont"/>
    <w:link w:val="Heading1"/>
    <w:rsid w:val="00B269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269B5"/>
    <w:rPr>
      <w:rFonts w:ascii="Times New Roman" w:eastAsia="Times New Roman" w:hAnsi="Times New Roman" w:cs="Times New Roman"/>
      <w:b/>
      <w:szCs w:val="20"/>
      <w:lang w:eastAsia="en-US"/>
    </w:rPr>
  </w:style>
  <w:style w:type="paragraph" w:styleId="BodyText">
    <w:name w:val="Body Text"/>
    <w:basedOn w:val="Normal"/>
    <w:link w:val="BodyTextChar"/>
    <w:rsid w:val="00B269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9B5"/>
    <w:rPr>
      <w:rFonts w:ascii="Times New Roman" w:eastAsia="Times New Roman" w:hAnsi="Times New Roman" w:cs="Times New Roman"/>
      <w:sz w:val="24"/>
      <w:lang w:eastAsia="en-US"/>
    </w:rPr>
  </w:style>
  <w:style w:type="paragraph" w:styleId="ListBullet">
    <w:name w:val="List Bullet"/>
    <w:basedOn w:val="List"/>
    <w:rsid w:val="00B269B5"/>
    <w:pPr>
      <w:numPr>
        <w:numId w:val="12"/>
      </w:numPr>
      <w:tabs>
        <w:tab w:val="clear" w:pos="340"/>
      </w:tabs>
      <w:spacing w:before="40" w:after="40"/>
    </w:pPr>
  </w:style>
  <w:style w:type="paragraph" w:styleId="ListBullet2">
    <w:name w:val="List Bullet 2"/>
    <w:basedOn w:val="List2"/>
    <w:rsid w:val="00B269B5"/>
    <w:pPr>
      <w:numPr>
        <w:numId w:val="13"/>
      </w:numPr>
      <w:tabs>
        <w:tab w:val="clear" w:pos="680"/>
      </w:tabs>
    </w:pPr>
  </w:style>
  <w:style w:type="paragraph" w:customStyle="1" w:styleId="SuperHeading">
    <w:name w:val="SuperHeading"/>
    <w:basedOn w:val="Normal"/>
    <w:rsid w:val="00B269B5"/>
    <w:pPr>
      <w:spacing w:before="240" w:after="120"/>
      <w:outlineLvl w:val="0"/>
    </w:pPr>
    <w:rPr>
      <w:rFonts w:ascii="Times New Roman" w:hAnsi="Times New Roman"/>
      <w:b/>
      <w:sz w:val="32"/>
    </w:rPr>
  </w:style>
  <w:style w:type="paragraph" w:customStyle="1" w:styleId="AllowPageBreak">
    <w:name w:val="AllowPageBreak"/>
    <w:rsid w:val="00B269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6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9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26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9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9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9B5"/>
    <w:rPr>
      <w:rFonts w:ascii="Courier New" w:eastAsia="Times New Roman" w:hAnsi="Courier New" w:cs="Times New Roman"/>
      <w:i/>
      <w:szCs w:val="20"/>
      <w:lang w:eastAsia="en-US"/>
    </w:rPr>
  </w:style>
  <w:style w:type="paragraph" w:customStyle="1" w:styleId="HeadingBase">
    <w:name w:val="Heading Base"/>
    <w:rsid w:val="00B26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9B5"/>
    <w:pPr>
      <w:tabs>
        <w:tab w:val="right" w:leader="dot" w:pos="9072"/>
      </w:tabs>
      <w:ind w:left="567"/>
    </w:pPr>
    <w:rPr>
      <w:szCs w:val="22"/>
    </w:rPr>
  </w:style>
  <w:style w:type="paragraph" w:customStyle="1" w:styleId="TOCBase">
    <w:name w:val="TOC Base"/>
    <w:rsid w:val="00B26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9B5"/>
    <w:pPr>
      <w:tabs>
        <w:tab w:val="right" w:leader="dot" w:pos="9072"/>
      </w:tabs>
      <w:spacing w:before="40" w:after="40"/>
      <w:ind w:left="284"/>
    </w:pPr>
    <w:rPr>
      <w:rFonts w:ascii="Times New Roman" w:hAnsi="Times New Roman"/>
    </w:rPr>
  </w:style>
  <w:style w:type="paragraph" w:styleId="TOC1">
    <w:name w:val="toc 1"/>
    <w:basedOn w:val="TOCBase"/>
    <w:next w:val="Normal"/>
    <w:rsid w:val="00B269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9B5"/>
    <w:rPr>
      <w:rFonts w:ascii="Times New Roman" w:eastAsia="Times New Roman" w:hAnsi="Times New Roman" w:cs="Times New Roman"/>
      <w:sz w:val="16"/>
      <w:lang w:eastAsia="en-US"/>
    </w:rPr>
  </w:style>
  <w:style w:type="paragraph" w:styleId="Title">
    <w:name w:val="Title"/>
    <w:basedOn w:val="HeadingBase"/>
    <w:link w:val="TitleChar"/>
    <w:qFormat/>
    <w:rsid w:val="00B269B5"/>
    <w:pPr>
      <w:spacing w:before="5040"/>
      <w:jc w:val="center"/>
    </w:pPr>
    <w:rPr>
      <w:sz w:val="48"/>
      <w:szCs w:val="72"/>
      <w:lang w:val="en-US"/>
    </w:rPr>
  </w:style>
  <w:style w:type="character" w:customStyle="1" w:styleId="TitleChar">
    <w:name w:val="Title Char"/>
    <w:basedOn w:val="DefaultParagraphFont"/>
    <w:link w:val="Title"/>
    <w:rsid w:val="00B26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9B5"/>
    <w:pPr>
      <w:tabs>
        <w:tab w:val="left" w:pos="3600"/>
        <w:tab w:val="left" w:pos="3958"/>
      </w:tabs>
    </w:pPr>
  </w:style>
  <w:style w:type="paragraph" w:styleId="List">
    <w:name w:val="List"/>
    <w:basedOn w:val="BodyText"/>
    <w:next w:val="BodyText"/>
    <w:rsid w:val="00B269B5"/>
    <w:pPr>
      <w:tabs>
        <w:tab w:val="left" w:pos="340"/>
      </w:tabs>
      <w:spacing w:before="60" w:after="60"/>
      <w:ind w:left="340" w:hanging="340"/>
    </w:pPr>
  </w:style>
  <w:style w:type="paragraph" w:customStyle="1" w:styleId="Note">
    <w:name w:val="Note"/>
    <w:basedOn w:val="BodyText"/>
    <w:rsid w:val="00B269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69B5"/>
    <w:rPr>
      <w:b/>
      <w:spacing w:val="0"/>
    </w:rPr>
  </w:style>
  <w:style w:type="paragraph" w:customStyle="1" w:styleId="SuperTitle">
    <w:name w:val="SuperTitle"/>
    <w:basedOn w:val="Title"/>
    <w:rsid w:val="00B269B5"/>
    <w:pPr>
      <w:framePr w:wrap="auto" w:hAnchor="text" w:y="6049"/>
    </w:pPr>
    <w:rPr>
      <w:color w:val="000000"/>
      <w:sz w:val="40"/>
    </w:rPr>
  </w:style>
  <w:style w:type="paragraph" w:customStyle="1" w:styleId="TOCTitle">
    <w:name w:val="TOCTitle"/>
    <w:basedOn w:val="Heading1"/>
    <w:rsid w:val="00B269B5"/>
    <w:pPr>
      <w:spacing w:after="240"/>
      <w:jc w:val="center"/>
      <w:outlineLvl w:val="9"/>
    </w:pPr>
    <w:rPr>
      <w:caps/>
    </w:rPr>
  </w:style>
  <w:style w:type="paragraph" w:customStyle="1" w:styleId="Version">
    <w:name w:val="Version"/>
    <w:rsid w:val="00B269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9B5"/>
    <w:pPr>
      <w:keepNext w:val="0"/>
      <w:tabs>
        <w:tab w:val="right" w:pos="4176"/>
      </w:tabs>
      <w:ind w:left="198" w:hanging="198"/>
    </w:pPr>
    <w:rPr>
      <w:rFonts w:ascii="Garamond" w:hAnsi="Garamond"/>
    </w:rPr>
  </w:style>
  <w:style w:type="paragraph" w:styleId="IndexHeading">
    <w:name w:val="index heading"/>
    <w:basedOn w:val="Normal"/>
    <w:next w:val="Index1"/>
    <w:semiHidden/>
    <w:rsid w:val="00B269B5"/>
    <w:pPr>
      <w:spacing w:before="120" w:after="120"/>
    </w:pPr>
    <w:rPr>
      <w:rFonts w:ascii="Arial" w:hAnsi="Arial"/>
      <w:b/>
      <w:color w:val="918585"/>
      <w:sz w:val="24"/>
    </w:rPr>
  </w:style>
  <w:style w:type="paragraph" w:styleId="Header">
    <w:name w:val="header"/>
    <w:basedOn w:val="Normal"/>
    <w:link w:val="HeaderChar"/>
    <w:rsid w:val="00B26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9B5"/>
    <w:rPr>
      <w:rFonts w:ascii="Times New Roman" w:eastAsia="Times New Roman" w:hAnsi="Times New Roman" w:cs="Times New Roman"/>
      <w:sz w:val="16"/>
      <w:szCs w:val="20"/>
      <w:lang w:val="en-GB" w:eastAsia="en-US"/>
    </w:rPr>
  </w:style>
  <w:style w:type="paragraph" w:customStyle="1" w:styleId="Chapter">
    <w:name w:val="Chapter"/>
    <w:basedOn w:val="Normal"/>
    <w:rsid w:val="00B269B5"/>
    <w:pPr>
      <w:spacing w:before="240"/>
    </w:pPr>
    <w:rPr>
      <w:rFonts w:ascii="Times New Roman" w:hAnsi="Times New Roman"/>
      <w:smallCaps/>
      <w:spacing w:val="80"/>
      <w:sz w:val="28"/>
    </w:rPr>
  </w:style>
  <w:style w:type="paragraph" w:customStyle="1" w:styleId="InChapter">
    <w:name w:val="InChapter"/>
    <w:basedOn w:val="Heading3"/>
    <w:rsid w:val="00B269B5"/>
    <w:pPr>
      <w:spacing w:after="240"/>
      <w:outlineLvl w:val="9"/>
    </w:pPr>
    <w:rPr>
      <w:noProof/>
    </w:rPr>
  </w:style>
  <w:style w:type="paragraph" w:styleId="Index2">
    <w:name w:val="index 2"/>
    <w:basedOn w:val="Normal"/>
    <w:next w:val="Normal"/>
    <w:semiHidden/>
    <w:rsid w:val="00B269B5"/>
    <w:pPr>
      <w:tabs>
        <w:tab w:val="right" w:pos="4176"/>
      </w:tabs>
      <w:ind w:left="568" w:hanging="284"/>
    </w:pPr>
    <w:rPr>
      <w:rFonts w:ascii="Garamond" w:hAnsi="Garamond"/>
    </w:rPr>
  </w:style>
  <w:style w:type="paragraph" w:customStyle="1" w:styleId="Byline">
    <w:name w:val="Byline"/>
    <w:rsid w:val="00B26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9B5"/>
    <w:pPr>
      <w:tabs>
        <w:tab w:val="clear" w:pos="3600"/>
        <w:tab w:val="clear" w:pos="3958"/>
      </w:tabs>
      <w:jc w:val="right"/>
    </w:pPr>
  </w:style>
  <w:style w:type="character" w:styleId="Emphasis">
    <w:name w:val="Emphasis"/>
    <w:basedOn w:val="DefaultParagraphFont"/>
    <w:qFormat/>
    <w:rsid w:val="00B269B5"/>
    <w:rPr>
      <w:i/>
    </w:rPr>
  </w:style>
  <w:style w:type="paragraph" w:styleId="Caption">
    <w:name w:val="caption"/>
    <w:basedOn w:val="BodyText"/>
    <w:next w:val="Normal"/>
    <w:qFormat/>
    <w:rsid w:val="00B269B5"/>
    <w:pPr>
      <w:framePr w:w="2268" w:hSpace="181" w:vSpace="181" w:wrap="around" w:vAnchor="text" w:hAnchor="page" w:x="1135" w:y="285" w:anchorLock="1"/>
    </w:pPr>
    <w:rPr>
      <w:i/>
    </w:rPr>
  </w:style>
  <w:style w:type="paragraph" w:customStyle="1" w:styleId="MiniTOCTitle">
    <w:name w:val="MiniTOCTitle"/>
    <w:basedOn w:val="Heading4"/>
    <w:rsid w:val="00B269B5"/>
    <w:pPr>
      <w:spacing w:before="240"/>
      <w:outlineLvl w:val="9"/>
    </w:pPr>
    <w:rPr>
      <w:noProof/>
      <w:sz w:val="24"/>
    </w:rPr>
  </w:style>
  <w:style w:type="paragraph" w:customStyle="1" w:styleId="MiniTOCItem">
    <w:name w:val="MiniTOCItem"/>
    <w:basedOn w:val="ListBullet"/>
    <w:rsid w:val="00B269B5"/>
    <w:pPr>
      <w:numPr>
        <w:numId w:val="0"/>
      </w:numPr>
      <w:tabs>
        <w:tab w:val="right" w:leader="dot" w:pos="6521"/>
      </w:tabs>
      <w:spacing w:before="0" w:after="0"/>
    </w:pPr>
  </w:style>
  <w:style w:type="paragraph" w:customStyle="1" w:styleId="TOFTitle">
    <w:name w:val="TOFTitle"/>
    <w:basedOn w:val="TOCTitle"/>
    <w:rsid w:val="00B269B5"/>
  </w:style>
  <w:style w:type="paragraph" w:styleId="TableofFigures">
    <w:name w:val="table of figures"/>
    <w:basedOn w:val="Normal"/>
    <w:next w:val="Normal"/>
    <w:semiHidden/>
    <w:rsid w:val="00B269B5"/>
    <w:pPr>
      <w:tabs>
        <w:tab w:val="right" w:leader="dot" w:pos="9072"/>
      </w:tabs>
      <w:ind w:left="970" w:hanging="403"/>
    </w:pPr>
    <w:rPr>
      <w:rFonts w:ascii="Times New Roman" w:hAnsi="Times New Roman"/>
      <w:b/>
    </w:rPr>
  </w:style>
  <w:style w:type="paragraph" w:styleId="ListNumber">
    <w:name w:val="List Number"/>
    <w:basedOn w:val="List"/>
    <w:rsid w:val="00B269B5"/>
    <w:pPr>
      <w:numPr>
        <w:numId w:val="15"/>
      </w:numPr>
      <w:tabs>
        <w:tab w:val="clear" w:pos="340"/>
      </w:tabs>
    </w:pPr>
  </w:style>
  <w:style w:type="character" w:customStyle="1" w:styleId="WingdingSymbols">
    <w:name w:val="Wingding Symbols"/>
    <w:rsid w:val="00B269B5"/>
    <w:rPr>
      <w:rFonts w:ascii="Wingdings" w:hAnsi="Wingdings"/>
    </w:rPr>
  </w:style>
  <w:style w:type="paragraph" w:customStyle="1" w:styleId="TableHeading">
    <w:name w:val="Table Heading"/>
    <w:basedOn w:val="HeadingBase"/>
    <w:rsid w:val="00B269B5"/>
    <w:pPr>
      <w:keepLines/>
      <w:pBdr>
        <w:bottom w:val="single" w:sz="6" w:space="1" w:color="918585"/>
      </w:pBdr>
      <w:spacing w:before="240"/>
    </w:pPr>
  </w:style>
  <w:style w:type="character" w:customStyle="1" w:styleId="HotSpot">
    <w:name w:val="HotSpot"/>
    <w:rsid w:val="00B269B5"/>
    <w:rPr>
      <w:color w:val="0033CC"/>
      <w:u w:val="none"/>
    </w:rPr>
  </w:style>
  <w:style w:type="paragraph" w:customStyle="1" w:styleId="BodyTextRight">
    <w:name w:val="Body Text Right"/>
    <w:basedOn w:val="BodyText"/>
    <w:rsid w:val="00B269B5"/>
    <w:pPr>
      <w:spacing w:before="0" w:after="0"/>
      <w:jc w:val="right"/>
    </w:pPr>
  </w:style>
  <w:style w:type="paragraph" w:styleId="Index3">
    <w:name w:val="index 3"/>
    <w:basedOn w:val="ListNumber2"/>
    <w:next w:val="Normal"/>
    <w:semiHidden/>
    <w:rsid w:val="00B269B5"/>
    <w:pPr>
      <w:numPr>
        <w:numId w:val="0"/>
      </w:numPr>
      <w:tabs>
        <w:tab w:val="right" w:leader="dot" w:pos="4176"/>
      </w:tabs>
    </w:pPr>
  </w:style>
  <w:style w:type="paragraph" w:styleId="ListNumber2">
    <w:name w:val="List Number 2"/>
    <w:basedOn w:val="List2"/>
    <w:rsid w:val="00B269B5"/>
    <w:pPr>
      <w:numPr>
        <w:numId w:val="10"/>
      </w:numPr>
      <w:tabs>
        <w:tab w:val="clear" w:pos="1060"/>
      </w:tabs>
    </w:pPr>
  </w:style>
  <w:style w:type="paragraph" w:customStyle="1" w:styleId="MarginNote">
    <w:name w:val="Margin Note"/>
    <w:basedOn w:val="BodyText"/>
    <w:rsid w:val="00B26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9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9B5"/>
    <w:rPr>
      <w:sz w:val="32"/>
    </w:rPr>
  </w:style>
  <w:style w:type="paragraph" w:customStyle="1" w:styleId="HeadingProcedure">
    <w:name w:val="Heading Procedure"/>
    <w:basedOn w:val="HeadingBase"/>
    <w:next w:val="Normal"/>
    <w:rsid w:val="00B269B5"/>
    <w:pPr>
      <w:tabs>
        <w:tab w:val="left" w:pos="0"/>
      </w:tabs>
      <w:spacing w:before="120" w:after="60"/>
    </w:pPr>
    <w:rPr>
      <w:i/>
      <w:color w:val="918585"/>
      <w:sz w:val="22"/>
    </w:rPr>
  </w:style>
  <w:style w:type="paragraph" w:customStyle="1" w:styleId="TableBodyText">
    <w:name w:val="Table Body Text"/>
    <w:basedOn w:val="BodyText"/>
    <w:rsid w:val="00B269B5"/>
    <w:pPr>
      <w:spacing w:before="60" w:after="60"/>
    </w:pPr>
  </w:style>
  <w:style w:type="paragraph" w:styleId="ListContinue">
    <w:name w:val="List Continue"/>
    <w:basedOn w:val="List"/>
    <w:rsid w:val="00B269B5"/>
    <w:pPr>
      <w:ind w:firstLine="0"/>
    </w:pPr>
  </w:style>
  <w:style w:type="paragraph" w:customStyle="1" w:styleId="ListNote">
    <w:name w:val="List Note"/>
    <w:basedOn w:val="List"/>
    <w:rsid w:val="00B269B5"/>
    <w:pPr>
      <w:pBdr>
        <w:top w:val="single" w:sz="6" w:space="2" w:color="918585"/>
        <w:bottom w:val="single" w:sz="6" w:space="2" w:color="918585"/>
      </w:pBdr>
      <w:tabs>
        <w:tab w:val="left" w:pos="1021"/>
      </w:tabs>
      <w:ind w:firstLine="0"/>
    </w:pPr>
  </w:style>
  <w:style w:type="paragraph" w:customStyle="1" w:styleId="Warning">
    <w:name w:val="Warning"/>
    <w:basedOn w:val="BodyText"/>
    <w:rsid w:val="00B269B5"/>
    <w:pPr>
      <w:shd w:val="clear" w:color="auto" w:fill="D9D9D9"/>
      <w:tabs>
        <w:tab w:val="left" w:pos="992"/>
      </w:tabs>
      <w:ind w:left="119" w:right="119"/>
    </w:pPr>
    <w:rPr>
      <w:sz w:val="20"/>
    </w:rPr>
  </w:style>
  <w:style w:type="paragraph" w:customStyle="1" w:styleId="MarginIcons">
    <w:name w:val="Margin Icons"/>
    <w:basedOn w:val="BodyText"/>
    <w:rsid w:val="00B26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9B5"/>
    <w:rPr>
      <w:rFonts w:ascii="Courier New" w:hAnsi="Courier New"/>
    </w:rPr>
  </w:style>
  <w:style w:type="paragraph" w:customStyle="1" w:styleId="NoteBullet">
    <w:name w:val="Note Bullet"/>
    <w:basedOn w:val="Note"/>
    <w:rsid w:val="00B269B5"/>
    <w:pPr>
      <w:tabs>
        <w:tab w:val="clear" w:pos="680"/>
      </w:tabs>
      <w:spacing w:before="60" w:after="60"/>
    </w:pPr>
  </w:style>
  <w:style w:type="paragraph" w:customStyle="1" w:styleId="SubHeading2">
    <w:name w:val="SubHeading2"/>
    <w:basedOn w:val="HeadingBase"/>
    <w:rsid w:val="00B269B5"/>
    <w:pPr>
      <w:spacing w:before="240" w:after="60"/>
    </w:pPr>
    <w:rPr>
      <w:sz w:val="20"/>
    </w:rPr>
  </w:style>
  <w:style w:type="paragraph" w:customStyle="1" w:styleId="SubHeading1">
    <w:name w:val="SubHeading1"/>
    <w:basedOn w:val="HeadingBase"/>
    <w:rsid w:val="00B269B5"/>
    <w:pPr>
      <w:spacing w:before="240" w:after="60"/>
    </w:pPr>
    <w:rPr>
      <w:color w:val="918585"/>
      <w:sz w:val="22"/>
    </w:rPr>
  </w:style>
  <w:style w:type="paragraph" w:customStyle="1" w:styleId="SideHeading">
    <w:name w:val="Side Heading"/>
    <w:basedOn w:val="HeadingBase"/>
    <w:rsid w:val="00B26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9B5"/>
    <w:pPr>
      <w:tabs>
        <w:tab w:val="num" w:pos="360"/>
      </w:tabs>
    </w:pPr>
  </w:style>
  <w:style w:type="paragraph" w:styleId="PlainText">
    <w:name w:val="Plain Text"/>
    <w:basedOn w:val="Normal"/>
    <w:link w:val="PlainTextChar"/>
    <w:rsid w:val="00B269B5"/>
    <w:rPr>
      <w:sz w:val="20"/>
    </w:rPr>
  </w:style>
  <w:style w:type="character" w:customStyle="1" w:styleId="PlainTextChar">
    <w:name w:val="Plain Text Char"/>
    <w:basedOn w:val="DefaultParagraphFont"/>
    <w:link w:val="PlainText"/>
    <w:rsid w:val="00B269B5"/>
    <w:rPr>
      <w:rFonts w:ascii="Courier New" w:eastAsia="Times New Roman" w:hAnsi="Courier New" w:cs="Times New Roman"/>
      <w:sz w:val="20"/>
      <w:szCs w:val="20"/>
      <w:lang w:eastAsia="en-US"/>
    </w:rPr>
  </w:style>
  <w:style w:type="character" w:customStyle="1" w:styleId="MenuOption">
    <w:name w:val="Menu Option"/>
    <w:basedOn w:val="DefaultParagraphFont"/>
    <w:rsid w:val="00B269B5"/>
    <w:rPr>
      <w:b/>
      <w:smallCaps/>
    </w:rPr>
  </w:style>
  <w:style w:type="paragraph" w:customStyle="1" w:styleId="TableListNumber">
    <w:name w:val="Table List Number"/>
    <w:basedOn w:val="ListNumber"/>
    <w:rsid w:val="00B269B5"/>
    <w:pPr>
      <w:numPr>
        <w:numId w:val="0"/>
      </w:numPr>
    </w:pPr>
  </w:style>
  <w:style w:type="paragraph" w:styleId="TOC4">
    <w:name w:val="toc 4"/>
    <w:basedOn w:val="TOCBase"/>
    <w:next w:val="Normal"/>
    <w:semiHidden/>
    <w:rsid w:val="00B269B5"/>
    <w:pPr>
      <w:tabs>
        <w:tab w:val="right" w:leader="dot" w:pos="9071"/>
      </w:tabs>
      <w:ind w:left="1701"/>
    </w:pPr>
  </w:style>
  <w:style w:type="paragraph" w:customStyle="1" w:styleId="ListAlpha">
    <w:name w:val="List Alpha"/>
    <w:basedOn w:val="List"/>
    <w:rsid w:val="00B269B5"/>
    <w:pPr>
      <w:numPr>
        <w:numId w:val="9"/>
      </w:numPr>
    </w:pPr>
  </w:style>
  <w:style w:type="paragraph" w:customStyle="1" w:styleId="ListAlpha2">
    <w:name w:val="List Alpha 2"/>
    <w:basedOn w:val="List2"/>
    <w:rsid w:val="00B269B5"/>
    <w:pPr>
      <w:numPr>
        <w:numId w:val="8"/>
      </w:numPr>
    </w:pPr>
  </w:style>
  <w:style w:type="paragraph" w:styleId="List2">
    <w:name w:val="List 2"/>
    <w:basedOn w:val="BodyText"/>
    <w:rsid w:val="00B269B5"/>
    <w:pPr>
      <w:tabs>
        <w:tab w:val="left" w:pos="680"/>
      </w:tabs>
      <w:spacing w:before="60" w:after="60"/>
      <w:ind w:left="680" w:hanging="340"/>
    </w:pPr>
  </w:style>
  <w:style w:type="paragraph" w:styleId="List3">
    <w:name w:val="List 3"/>
    <w:basedOn w:val="BodyText"/>
    <w:rsid w:val="00B269B5"/>
    <w:pPr>
      <w:tabs>
        <w:tab w:val="left" w:pos="1021"/>
      </w:tabs>
      <w:spacing w:before="60" w:after="60"/>
      <w:ind w:left="1020" w:hanging="340"/>
    </w:pPr>
  </w:style>
  <w:style w:type="paragraph" w:styleId="List4">
    <w:name w:val="List 4"/>
    <w:basedOn w:val="BodyText"/>
    <w:rsid w:val="00B269B5"/>
    <w:pPr>
      <w:tabs>
        <w:tab w:val="left" w:pos="1361"/>
      </w:tabs>
      <w:spacing w:before="60" w:after="60"/>
      <w:ind w:left="1361" w:hanging="340"/>
    </w:pPr>
  </w:style>
  <w:style w:type="paragraph" w:styleId="List5">
    <w:name w:val="List 5"/>
    <w:basedOn w:val="BodyText"/>
    <w:rsid w:val="00B269B5"/>
    <w:pPr>
      <w:tabs>
        <w:tab w:val="left" w:pos="1701"/>
      </w:tabs>
      <w:spacing w:before="60" w:after="60"/>
      <w:ind w:left="1701" w:hanging="340"/>
    </w:pPr>
  </w:style>
  <w:style w:type="paragraph" w:styleId="ListBullet3">
    <w:name w:val="List Bullet 3"/>
    <w:basedOn w:val="List3"/>
    <w:rsid w:val="00B269B5"/>
    <w:pPr>
      <w:numPr>
        <w:numId w:val="14"/>
      </w:numPr>
      <w:tabs>
        <w:tab w:val="clear" w:pos="1021"/>
      </w:tabs>
      <w:ind w:left="1037" w:hanging="357"/>
    </w:pPr>
  </w:style>
  <w:style w:type="paragraph" w:styleId="ListBullet4">
    <w:name w:val="List Bullet 4"/>
    <w:basedOn w:val="List4"/>
    <w:rsid w:val="00B269B5"/>
    <w:pPr>
      <w:numPr>
        <w:numId w:val="3"/>
      </w:numPr>
      <w:tabs>
        <w:tab w:val="clear" w:pos="1361"/>
      </w:tabs>
    </w:pPr>
  </w:style>
  <w:style w:type="paragraph" w:styleId="ListBullet5">
    <w:name w:val="List Bullet 5"/>
    <w:basedOn w:val="List5"/>
    <w:rsid w:val="00B269B5"/>
    <w:pPr>
      <w:numPr>
        <w:numId w:val="4"/>
      </w:numPr>
    </w:pPr>
  </w:style>
  <w:style w:type="paragraph" w:styleId="ListContinue2">
    <w:name w:val="List Continue 2"/>
    <w:basedOn w:val="List2"/>
    <w:rsid w:val="00B269B5"/>
    <w:pPr>
      <w:ind w:firstLine="0"/>
    </w:pPr>
  </w:style>
  <w:style w:type="paragraph" w:styleId="ListContinue3">
    <w:name w:val="List Continue 3"/>
    <w:basedOn w:val="List3"/>
    <w:rsid w:val="00B269B5"/>
    <w:pPr>
      <w:ind w:left="1021" w:firstLine="0"/>
    </w:pPr>
  </w:style>
  <w:style w:type="paragraph" w:styleId="ListContinue4">
    <w:name w:val="List Continue 4"/>
    <w:basedOn w:val="List4"/>
    <w:rsid w:val="00B269B5"/>
    <w:pPr>
      <w:ind w:firstLine="0"/>
    </w:pPr>
  </w:style>
  <w:style w:type="paragraph" w:styleId="ListContinue5">
    <w:name w:val="List Continue 5"/>
    <w:basedOn w:val="List5"/>
    <w:rsid w:val="00B269B5"/>
    <w:pPr>
      <w:ind w:firstLine="0"/>
    </w:pPr>
  </w:style>
  <w:style w:type="paragraph" w:styleId="ListNumber3">
    <w:name w:val="List Number 3"/>
    <w:basedOn w:val="List3"/>
    <w:rsid w:val="00B269B5"/>
    <w:pPr>
      <w:numPr>
        <w:numId w:val="5"/>
      </w:numPr>
    </w:pPr>
  </w:style>
  <w:style w:type="paragraph" w:styleId="ListNumber4">
    <w:name w:val="List Number 4"/>
    <w:basedOn w:val="List4"/>
    <w:rsid w:val="00B269B5"/>
    <w:pPr>
      <w:numPr>
        <w:numId w:val="6"/>
      </w:numPr>
    </w:pPr>
  </w:style>
  <w:style w:type="paragraph" w:styleId="ListNumber5">
    <w:name w:val="List Number 5"/>
    <w:basedOn w:val="List5"/>
    <w:rsid w:val="00B269B5"/>
    <w:pPr>
      <w:numPr>
        <w:numId w:val="7"/>
      </w:numPr>
    </w:pPr>
  </w:style>
  <w:style w:type="paragraph" w:styleId="BlockText">
    <w:name w:val="Block Text"/>
    <w:basedOn w:val="Normal"/>
    <w:rsid w:val="00B269B5"/>
    <w:pPr>
      <w:spacing w:after="120"/>
      <w:ind w:left="1440" w:right="1440"/>
    </w:pPr>
  </w:style>
  <w:style w:type="character" w:customStyle="1" w:styleId="Subscript">
    <w:name w:val="Subscript"/>
    <w:basedOn w:val="DefaultParagraphFont"/>
    <w:rsid w:val="00B269B5"/>
    <w:rPr>
      <w:sz w:val="16"/>
      <w:vertAlign w:val="subscript"/>
    </w:rPr>
  </w:style>
  <w:style w:type="character" w:customStyle="1" w:styleId="Superscript">
    <w:name w:val="Superscript"/>
    <w:basedOn w:val="DefaultParagraphFont"/>
    <w:rsid w:val="00B269B5"/>
    <w:rPr>
      <w:sz w:val="16"/>
      <w:vertAlign w:val="superscript"/>
    </w:rPr>
  </w:style>
  <w:style w:type="character" w:customStyle="1" w:styleId="Symbols">
    <w:name w:val="Symbols"/>
    <w:basedOn w:val="DefaultParagraphFont"/>
    <w:rsid w:val="00B269B5"/>
    <w:rPr>
      <w:rFonts w:ascii="Symbol" w:hAnsi="Symbol"/>
    </w:rPr>
  </w:style>
  <w:style w:type="character" w:customStyle="1" w:styleId="MenuOptions">
    <w:name w:val="Menu Options"/>
    <w:basedOn w:val="DefaultParagraphFont"/>
    <w:rsid w:val="00B269B5"/>
    <w:rPr>
      <w:rFonts w:ascii="Arial Narrow" w:hAnsi="Arial Narrow"/>
      <w:smallCaps/>
    </w:rPr>
  </w:style>
  <w:style w:type="character" w:customStyle="1" w:styleId="Buttons">
    <w:name w:val="Buttons"/>
    <w:basedOn w:val="DefaultParagraphFont"/>
    <w:rsid w:val="00B269B5"/>
    <w:rPr>
      <w:b/>
    </w:rPr>
  </w:style>
  <w:style w:type="character" w:customStyle="1" w:styleId="Underlined">
    <w:name w:val="Underlined"/>
    <w:basedOn w:val="DefaultParagraphFont"/>
    <w:rsid w:val="00B269B5"/>
    <w:rPr>
      <w:u w:val="single"/>
    </w:rPr>
  </w:style>
  <w:style w:type="paragraph" w:customStyle="1" w:styleId="TableBodyTextRight">
    <w:name w:val="Table Body Text Right"/>
    <w:basedOn w:val="TableBodyText"/>
    <w:rsid w:val="00B269B5"/>
    <w:pPr>
      <w:widowControl w:val="0"/>
      <w:autoSpaceDE w:val="0"/>
      <w:autoSpaceDN w:val="0"/>
      <w:adjustRightInd w:val="0"/>
      <w:jc w:val="right"/>
    </w:pPr>
    <w:rPr>
      <w:rFonts w:cs="Arial"/>
      <w:szCs w:val="18"/>
    </w:rPr>
  </w:style>
  <w:style w:type="paragraph" w:customStyle="1" w:styleId="CopyrightText">
    <w:name w:val="Copyright Text"/>
    <w:basedOn w:val="BodyText"/>
    <w:rsid w:val="00B269B5"/>
    <w:rPr>
      <w:sz w:val="18"/>
    </w:rPr>
  </w:style>
  <w:style w:type="paragraph" w:customStyle="1" w:styleId="BodySmallRight">
    <w:name w:val="Body Small Right"/>
    <w:basedOn w:val="BodyTextRight"/>
    <w:rsid w:val="00B269B5"/>
    <w:rPr>
      <w:sz w:val="18"/>
      <w:szCs w:val="18"/>
    </w:rPr>
  </w:style>
  <w:style w:type="paragraph" w:customStyle="1" w:styleId="MarginEdition">
    <w:name w:val="Margin Edition"/>
    <w:basedOn w:val="MarginNote"/>
    <w:rsid w:val="00B269B5"/>
    <w:pPr>
      <w:spacing w:before="0" w:after="0"/>
    </w:pPr>
    <w:rPr>
      <w:rFonts w:ascii="Times New Roman" w:hAnsi="Times New Roman"/>
      <w:color w:val="999999"/>
    </w:rPr>
  </w:style>
  <w:style w:type="paragraph" w:customStyle="1" w:styleId="Spacer">
    <w:name w:val="Spacer"/>
    <w:basedOn w:val="Normal"/>
    <w:rsid w:val="00B269B5"/>
    <w:rPr>
      <w:sz w:val="2"/>
      <w:szCs w:val="2"/>
    </w:rPr>
  </w:style>
  <w:style w:type="character" w:customStyle="1" w:styleId="Small">
    <w:name w:val="Small"/>
    <w:basedOn w:val="DefaultParagraphFont"/>
    <w:rsid w:val="00B269B5"/>
    <w:rPr>
      <w:sz w:val="16"/>
    </w:rPr>
  </w:style>
  <w:style w:type="paragraph" w:customStyle="1" w:styleId="WideTable">
    <w:name w:val="Wide Table"/>
    <w:basedOn w:val="Normal"/>
    <w:rsid w:val="00B269B5"/>
    <w:pPr>
      <w:ind w:left="-1418"/>
    </w:pPr>
    <w:rPr>
      <w:sz w:val="2"/>
      <w:szCs w:val="2"/>
    </w:rPr>
  </w:style>
  <w:style w:type="character" w:styleId="PageNumber">
    <w:name w:val="page number"/>
    <w:basedOn w:val="DefaultParagraphFont"/>
    <w:rsid w:val="00B269B5"/>
  </w:style>
  <w:style w:type="paragraph" w:styleId="Quote">
    <w:name w:val="Quote"/>
    <w:basedOn w:val="Heading1"/>
    <w:link w:val="QuoteChar"/>
    <w:qFormat/>
    <w:rsid w:val="00B269B5"/>
    <w:rPr>
      <w:b w:val="0"/>
      <w:sz w:val="72"/>
      <w:szCs w:val="72"/>
      <w:lang w:val="en-NZ"/>
    </w:rPr>
  </w:style>
  <w:style w:type="character" w:customStyle="1" w:styleId="QuoteChar">
    <w:name w:val="Quote Char"/>
    <w:basedOn w:val="DefaultParagraphFont"/>
    <w:link w:val="Quote"/>
    <w:rsid w:val="00B26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9B5"/>
    <w:pPr>
      <w:pageBreakBefore/>
    </w:pPr>
  </w:style>
  <w:style w:type="paragraph" w:customStyle="1" w:styleId="Border">
    <w:name w:val="Border"/>
    <w:basedOn w:val="Normal"/>
    <w:qFormat/>
    <w:rsid w:val="00B26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9B5"/>
    <w:rPr>
      <w:b/>
      <w:bCs/>
      <w:i/>
      <w:iCs/>
      <w:color w:val="auto"/>
    </w:rPr>
  </w:style>
  <w:style w:type="paragraph" w:styleId="IntenseQuote">
    <w:name w:val="Intense Quote"/>
    <w:basedOn w:val="Normal"/>
    <w:next w:val="Normal"/>
    <w:link w:val="IntenseQuoteChar"/>
    <w:uiPriority w:val="30"/>
    <w:qFormat/>
    <w:rsid w:val="00B26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9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9B5"/>
    <w:rPr>
      <w:smallCaps/>
      <w:color w:val="auto"/>
      <w:u w:val="single"/>
    </w:rPr>
  </w:style>
  <w:style w:type="character" w:styleId="IntenseReference">
    <w:name w:val="Intense Reference"/>
    <w:basedOn w:val="DefaultParagraphFont"/>
    <w:uiPriority w:val="32"/>
    <w:qFormat/>
    <w:rsid w:val="00B269B5"/>
    <w:rPr>
      <w:b/>
      <w:bCs/>
      <w:smallCaps/>
      <w:color w:val="auto"/>
      <w:spacing w:val="5"/>
      <w:u w:val="single"/>
    </w:rPr>
  </w:style>
  <w:style w:type="paragraph" w:customStyle="1" w:styleId="2ColumnHeading">
    <w:name w:val="2Column Heading"/>
    <w:basedOn w:val="BodyText"/>
    <w:qFormat/>
    <w:rsid w:val="00B269B5"/>
    <w:pPr>
      <w:spacing w:after="60"/>
      <w:ind w:left="-2268"/>
    </w:pPr>
    <w:rPr>
      <w:b/>
    </w:rPr>
  </w:style>
  <w:style w:type="paragraph" w:customStyle="1" w:styleId="Heading1TOC">
    <w:name w:val="Heading1 TOC"/>
    <w:basedOn w:val="Normal"/>
    <w:qFormat/>
    <w:rsid w:val="00B269B5"/>
    <w:pPr>
      <w:spacing w:before="240" w:after="120"/>
    </w:pPr>
    <w:rPr>
      <w:rFonts w:ascii="Times New Roman" w:hAnsi="Times New Roman"/>
      <w:b/>
      <w:sz w:val="32"/>
    </w:rPr>
  </w:style>
  <w:style w:type="paragraph" w:customStyle="1" w:styleId="Heading2TOC">
    <w:name w:val="Heading2 TOC"/>
    <w:basedOn w:val="Normal"/>
    <w:qFormat/>
    <w:rsid w:val="00B269B5"/>
    <w:pPr>
      <w:spacing w:before="240" w:after="60"/>
    </w:pPr>
    <w:rPr>
      <w:rFonts w:ascii="Times New Roman" w:hAnsi="Times New Roman"/>
      <w:b/>
      <w:sz w:val="28"/>
    </w:rPr>
  </w:style>
  <w:style w:type="character" w:customStyle="1" w:styleId="Underline">
    <w:name w:val="Underline"/>
    <w:basedOn w:val="DefaultParagraphFont"/>
    <w:qFormat/>
    <w:rsid w:val="00B269B5"/>
    <w:rPr>
      <w:u w:val="single"/>
    </w:rPr>
  </w:style>
  <w:style w:type="character" w:customStyle="1" w:styleId="BoldandItalics">
    <w:name w:val="Bold and Italics"/>
    <w:qFormat/>
    <w:rsid w:val="00B269B5"/>
    <w:rPr>
      <w:b/>
      <w:i/>
      <w:u w:val="none"/>
    </w:rPr>
  </w:style>
  <w:style w:type="paragraph" w:styleId="BalloonText">
    <w:name w:val="Balloon Text"/>
    <w:basedOn w:val="Normal"/>
    <w:link w:val="BalloonTextChar"/>
    <w:rsid w:val="00B269B5"/>
    <w:rPr>
      <w:rFonts w:ascii="Tahoma" w:hAnsi="Tahoma" w:cs="Tahoma"/>
      <w:sz w:val="16"/>
      <w:szCs w:val="16"/>
    </w:rPr>
  </w:style>
  <w:style w:type="character" w:customStyle="1" w:styleId="BalloonTextChar">
    <w:name w:val="Balloon Text Char"/>
    <w:basedOn w:val="DefaultParagraphFont"/>
    <w:link w:val="BalloonText"/>
    <w:rsid w:val="00B269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9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9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9B5"/>
    <w:rPr>
      <w:b/>
      <w:color w:val="660033"/>
      <w:spacing w:val="0"/>
    </w:rPr>
  </w:style>
  <w:style w:type="paragraph" w:customStyle="1" w:styleId="Nameditemlist">
    <w:name w:val="Named item list"/>
    <w:basedOn w:val="BodyText"/>
    <w:qFormat/>
    <w:rsid w:val="00B269B5"/>
    <w:pPr>
      <w:tabs>
        <w:tab w:val="left" w:pos="2835"/>
      </w:tabs>
      <w:ind w:left="2835" w:hanging="2835"/>
    </w:pPr>
  </w:style>
  <w:style w:type="paragraph" w:customStyle="1" w:styleId="BodyTextnopadding">
    <w:name w:val="Body Text no padding"/>
    <w:basedOn w:val="BodyText"/>
    <w:qFormat/>
    <w:rsid w:val="00B269B5"/>
    <w:pPr>
      <w:spacing w:before="0" w:after="0"/>
    </w:pPr>
  </w:style>
  <w:style w:type="paragraph" w:customStyle="1" w:styleId="BodyTextBold">
    <w:name w:val="Body Text Bold"/>
    <w:basedOn w:val="BodyText"/>
    <w:qFormat/>
    <w:rsid w:val="00B269B5"/>
    <w:rPr>
      <w:b/>
    </w:rPr>
  </w:style>
  <w:style w:type="character" w:styleId="Hyperlink">
    <w:name w:val="Hyperlink"/>
    <w:basedOn w:val="DefaultParagraphFont"/>
    <w:uiPriority w:val="99"/>
    <w:unhideWhenUsed/>
    <w:rsid w:val="001E17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6104</Characters>
  <Application>Microsoft Office Word</Application>
  <DocSecurity>0</DocSecurity>
  <Lines>148</Lines>
  <Paragraphs>95</Paragraphs>
  <ScaleCrop>false</ScaleCrop>
  <Company>Author-it Software Corporation Ltd.</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RIIMEX602D Establish and maintain surface mining ground control and slope stability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