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2EB" w:rsidP="000F0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RIIMEX302D Assess ground conditions</w:t>
      </w:r>
      <w:r>
        <w:fldChar w:fldCharType="end"/>
      </w:r>
    </w:p>
    <w:p w:rsidR="000F02EB" w:rsidP="000F02EB">
      <w:pPr>
        <w:pStyle w:val="Version"/>
        <w:sectPr w:rsidSect="006E1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E1267" w:rsidP="006E1267">
      <w:pPr>
        <w:pStyle w:val="SuperHeading"/>
      </w:pPr>
      <w:r w:rsidRPr="006E1267">
        <w:t>Assessment Requirements for RIIMEX302D Assess ground conditions</w:t>
      </w:r>
    </w:p>
    <w:p w:rsidR="00000000" w:rsidRPr="006E1267" w:rsidP="006E1267">
      <w:pPr>
        <w:pStyle w:val="Heading1"/>
      </w:pPr>
      <w:bookmarkStart w:id="1" w:name="O_673321"/>
      <w:bookmarkEnd w:id="1"/>
      <w:r w:rsidRPr="006E1267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0F02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Comment</w:t>
            </w:r>
          </w:p>
        </w:tc>
      </w:tr>
      <w:tr w:rsidTr="000F02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This unit replaces RIIMEX302B Assess ground conditions.</w:t>
            </w:r>
          </w:p>
        </w:tc>
      </w:tr>
      <w:tr w:rsidTr="000F02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Amended Performance Evidence.</w:t>
            </w:r>
          </w:p>
        </w:tc>
      </w:tr>
      <w:tr w:rsidTr="000F02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267" w:rsidP="006E1267">
            <w:pPr>
              <w:pStyle w:val="BodyText"/>
            </w:pPr>
            <w:r w:rsidRPr="006E1267">
              <w:t>Required frequency and volume of evidence amended in Performance evidence.</w:t>
            </w:r>
            <w:r w:rsidRPr="006E1267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6E1267">
              <w:t>uld be conducted and what it should confirm.</w:t>
            </w:r>
          </w:p>
        </w:tc>
      </w:tr>
    </w:tbl>
    <w:p w:rsidR="00000000" w:rsidRPr="006E1267" w:rsidP="006E1267">
      <w:pPr>
        <w:pStyle w:val="BodyText"/>
      </w:pPr>
    </w:p>
    <w:p w:rsidR="00000000" w:rsidRPr="006E1267" w:rsidP="006E1267">
      <w:pPr>
        <w:pStyle w:val="AllowPageBreak"/>
      </w:pPr>
    </w:p>
    <w:p w:rsidR="00000000" w:rsidRPr="006E1267" w:rsidP="006E1267">
      <w:pPr>
        <w:pStyle w:val="Heading1"/>
      </w:pPr>
      <w:bookmarkStart w:id="2" w:name="O_673320"/>
      <w:bookmarkEnd w:id="2"/>
      <w:r w:rsidRPr="006E1267">
        <w:t>Performance Evidence</w:t>
      </w:r>
    </w:p>
    <w:p w:rsidR="00000000" w:rsidRPr="006E1267" w:rsidP="000F02EB">
      <w:pPr>
        <w:pStyle w:val="BodyText"/>
      </w:pPr>
      <w:r w:rsidRPr="006E1267">
        <w:t>Evidence is required to be collected that demonstrates a candidate’s competency in this unit. Evidence must be relevant to the roles within this sector’s work operations a</w:t>
      </w:r>
      <w:r w:rsidRPr="006E1267">
        <w:t>nd satisfy all of the requirements of the performance criteria of this unit and include evidence that the candidate:</w:t>
      </w:r>
    </w:p>
    <w:p w:rsidR="00000000" w:rsidRPr="006E1267" w:rsidP="006E1267">
      <w:pPr>
        <w:pStyle w:val="ListBullet"/>
      </w:pPr>
      <w:r w:rsidRPr="006E1267">
        <w:t>locates and applies relevant legislation, documentation, policies and procedures</w:t>
      </w:r>
    </w:p>
    <w:p w:rsidR="00000000" w:rsidRPr="006E1267" w:rsidP="006E1267">
      <w:pPr>
        <w:pStyle w:val="ListBullet"/>
      </w:pPr>
      <w:r w:rsidRPr="006E1267">
        <w:t>implements the requirements, procedures and techniques for the safe, effective and efficient assessing of ground conditions including:</w:t>
      </w:r>
    </w:p>
    <w:p w:rsidR="00000000" w:rsidRPr="006E1267" w:rsidP="006E1267">
      <w:pPr>
        <w:pStyle w:val="ListBullet2"/>
      </w:pPr>
      <w:r w:rsidRPr="006E1267">
        <w:t>selecting and using relevant tools and equipment</w:t>
      </w:r>
    </w:p>
    <w:p w:rsidR="00000000" w:rsidRPr="006E1267" w:rsidP="006E1267">
      <w:pPr>
        <w:pStyle w:val="ListBullet2"/>
      </w:pPr>
      <w:r w:rsidRPr="006E1267">
        <w:t>working wearing personal protective equipment</w:t>
      </w:r>
    </w:p>
    <w:p w:rsidR="00000000" w:rsidRPr="006E1267" w:rsidP="006E1267">
      <w:pPr>
        <w:pStyle w:val="ListBullet2"/>
      </w:pPr>
      <w:r w:rsidRPr="006E1267">
        <w:t>hazard identification and</w:t>
      </w:r>
      <w:r w:rsidRPr="006E1267">
        <w:t xml:space="preserve"> control, and reporting defects </w:t>
      </w:r>
    </w:p>
    <w:p w:rsidR="00000000" w:rsidRPr="006E1267" w:rsidP="006E1267">
      <w:pPr>
        <w:pStyle w:val="ListBullet2"/>
      </w:pPr>
      <w:r w:rsidRPr="006E1267">
        <w:t xml:space="preserve">ensuring environmental compliance </w:t>
      </w:r>
    </w:p>
    <w:p w:rsidR="00000000" w:rsidRPr="006E1267" w:rsidP="006E1267">
      <w:pPr>
        <w:pStyle w:val="ListBullet2"/>
      </w:pPr>
      <w:r w:rsidRPr="006E1267">
        <w:t>interpreting documents, plans, reports, maps, specifications</w:t>
      </w:r>
    </w:p>
    <w:p w:rsidR="00000000" w:rsidRPr="006E1267" w:rsidP="006E1267">
      <w:pPr>
        <w:pStyle w:val="ListBullet2"/>
      </w:pPr>
      <w:r w:rsidRPr="006E1267">
        <w:t>isolation of equipment</w:t>
      </w:r>
    </w:p>
    <w:p w:rsidR="00000000" w:rsidRPr="006E1267" w:rsidP="006E1267">
      <w:pPr>
        <w:pStyle w:val="ListBullet2"/>
      </w:pPr>
      <w:r w:rsidRPr="006E1267">
        <w:t>applying scale/bar down procedures</w:t>
      </w:r>
    </w:p>
    <w:p w:rsidR="00000000" w:rsidRPr="006E1267" w:rsidP="006E1267">
      <w:pPr>
        <w:pStyle w:val="ListBullet"/>
      </w:pPr>
      <w:r w:rsidRPr="006E1267">
        <w:t>works effectively with others to undertake and complete the assessin</w:t>
      </w:r>
      <w:r w:rsidRPr="006E1267">
        <w:t>g of ground conditions that meets all of the required outcomes including:</w:t>
      </w:r>
    </w:p>
    <w:p w:rsidR="00000000" w:rsidRPr="006E1267" w:rsidP="006E1267">
      <w:pPr>
        <w:pStyle w:val="ListBullet2"/>
      </w:pPr>
      <w:r w:rsidRPr="006E1267">
        <w:t>complying with written and verbal reporting requirements and procedures</w:t>
      </w:r>
    </w:p>
    <w:p w:rsidR="00000000" w:rsidRPr="006E1267" w:rsidP="006E1267">
      <w:pPr>
        <w:pStyle w:val="ListBullet2"/>
      </w:pPr>
      <w:r w:rsidRPr="006E1267">
        <w:t>communicating clearly and concisely with others to receive and clarify work instructions</w:t>
      </w:r>
    </w:p>
    <w:p w:rsidR="00000000" w:rsidRPr="006E1267" w:rsidP="006E1267">
      <w:pPr>
        <w:pStyle w:val="ListBullet2"/>
      </w:pPr>
      <w:r w:rsidRPr="006E1267">
        <w:t>communicating clearl</w:t>
      </w:r>
      <w:r w:rsidRPr="006E1267">
        <w:t>y and concisely with others to resolve coordination requirements prior to commencing and during work activities</w:t>
      </w:r>
    </w:p>
    <w:p w:rsidR="00000000" w:rsidRPr="006E1267" w:rsidP="006E1267">
      <w:pPr>
        <w:pStyle w:val="ListBullet2"/>
      </w:pPr>
      <w:r w:rsidRPr="006E1267">
        <w:t>organising work tasks and applying diagnostic, problem solving and decision making techniques</w:t>
      </w:r>
    </w:p>
    <w:p w:rsidR="00000000" w:rsidRPr="006E1267" w:rsidP="006E1267">
      <w:pPr>
        <w:pStyle w:val="ListBullet2"/>
      </w:pPr>
      <w:r w:rsidRPr="006E1267">
        <w:t>selecting and using communications equipment</w:t>
      </w:r>
    </w:p>
    <w:p w:rsidR="00000000" w:rsidRPr="006E1267" w:rsidP="006E1267">
      <w:pPr>
        <w:pStyle w:val="ListBullet"/>
      </w:pPr>
      <w:r w:rsidRPr="006E1267">
        <w:t>demo</w:t>
      </w:r>
      <w:r w:rsidRPr="006E1267">
        <w:t>nstrates completion of assessing ground conditions that safely, effectively and efficiently meets all of the required outcomes on more than one (1) occasion including:</w:t>
      </w:r>
    </w:p>
    <w:p w:rsidR="00000000" w:rsidRPr="006E1267" w:rsidP="006E1267">
      <w:pPr>
        <w:pStyle w:val="ListBullet2"/>
      </w:pPr>
      <w:r w:rsidRPr="006E1267">
        <w:t>conducting inspections of work area</w:t>
      </w:r>
    </w:p>
    <w:p w:rsidR="00000000" w:rsidRPr="006E1267" w:rsidP="006E1267">
      <w:pPr>
        <w:pStyle w:val="ListBullet2"/>
      </w:pPr>
      <w:r w:rsidRPr="006E1267">
        <w:t>identifying stable and unstable ground</w:t>
      </w:r>
    </w:p>
    <w:p w:rsidR="00000000" w:rsidRPr="006E1267" w:rsidP="006E1267">
      <w:pPr>
        <w:pStyle w:val="ListBullet2"/>
      </w:pPr>
      <w:r w:rsidRPr="006E1267">
        <w:t>selecting and using tools, equipment and techniques for assessment of ground conditions</w:t>
      </w:r>
    </w:p>
    <w:p w:rsidR="00000000" w:rsidRPr="006E1267" w:rsidP="006E1267">
      <w:pPr>
        <w:pStyle w:val="ListBullet2"/>
      </w:pPr>
      <w:r w:rsidRPr="006E1267">
        <w:t>installing barricades and warning signs where required</w:t>
      </w:r>
    </w:p>
    <w:p w:rsidR="00000000" w:rsidRPr="006E1267" w:rsidP="006E1267">
      <w:pPr>
        <w:pStyle w:val="AllowPageBreak"/>
      </w:pPr>
    </w:p>
    <w:p w:rsidR="00000000" w:rsidRPr="006E1267" w:rsidP="006E1267">
      <w:pPr>
        <w:pStyle w:val="Heading1"/>
      </w:pPr>
      <w:bookmarkStart w:id="3" w:name="O_673319"/>
      <w:bookmarkEnd w:id="3"/>
      <w:r w:rsidRPr="006E1267">
        <w:t>Knowledge Evidence</w:t>
      </w:r>
    </w:p>
    <w:p w:rsidR="00000000" w:rsidRPr="006E1267" w:rsidP="000F02EB">
      <w:pPr>
        <w:pStyle w:val="BodyText"/>
      </w:pPr>
      <w:r w:rsidRPr="006E1267">
        <w:t>The candidate must demonstrate knowledge of the following when assessing grou</w:t>
      </w:r>
      <w:r w:rsidRPr="006E1267">
        <w:t>nd conditions:</w:t>
      </w:r>
    </w:p>
    <w:p w:rsidR="00000000" w:rsidRPr="006E1267" w:rsidP="006E1267">
      <w:pPr>
        <w:pStyle w:val="ListBullet"/>
      </w:pPr>
      <w:r w:rsidRPr="006E1267">
        <w:t>site product characteristics, types of ground, and the characteristics of unsafe ground conditions including:</w:t>
      </w:r>
    </w:p>
    <w:p w:rsidR="00000000" w:rsidRPr="006E1267" w:rsidP="006E1267">
      <w:pPr>
        <w:pStyle w:val="ListBullet2"/>
      </w:pPr>
      <w:r w:rsidRPr="006E1267">
        <w:t>potential hazards</w:t>
      </w:r>
    </w:p>
    <w:p w:rsidR="00000000" w:rsidRPr="006E1267" w:rsidP="006E1267">
      <w:pPr>
        <w:pStyle w:val="ListBullet2"/>
      </w:pPr>
      <w:r w:rsidRPr="006E1267">
        <w:t>adverse conditions</w:t>
      </w:r>
    </w:p>
    <w:p w:rsidR="00000000" w:rsidRPr="006E1267" w:rsidP="006E1267">
      <w:pPr>
        <w:pStyle w:val="ListBullet"/>
      </w:pPr>
      <w:r w:rsidRPr="006E1267">
        <w:t>site geological and survey data</w:t>
      </w:r>
    </w:p>
    <w:p w:rsidR="00000000" w:rsidRPr="006E1267" w:rsidP="006E1267">
      <w:pPr>
        <w:pStyle w:val="ListBullet"/>
      </w:pPr>
      <w:r w:rsidRPr="006E1267">
        <w:t>identifying support equipment and processes, and using with</w:t>
      </w:r>
      <w:r w:rsidRPr="006E1267">
        <w:t>in technical capabilities and limitations</w:t>
      </w:r>
    </w:p>
    <w:p w:rsidR="00000000" w:rsidRPr="006E1267" w:rsidP="006E1267">
      <w:pPr>
        <w:pStyle w:val="AllowPageBreak"/>
      </w:pPr>
    </w:p>
    <w:p w:rsidR="00000000" w:rsidRPr="006E1267" w:rsidP="006E1267">
      <w:pPr>
        <w:pStyle w:val="Heading1"/>
      </w:pPr>
      <w:bookmarkStart w:id="4" w:name="O_673318"/>
      <w:bookmarkEnd w:id="4"/>
      <w:r w:rsidRPr="006E1267">
        <w:t>Assessment Conditions</w:t>
      </w:r>
    </w:p>
    <w:p w:rsidR="00000000" w:rsidRPr="006E1267" w:rsidP="006E1267">
      <w:pPr>
        <w:pStyle w:val="ListBullet"/>
      </w:pPr>
      <w:r w:rsidRPr="006E1267">
        <w:t xml:space="preserve">An assessor of this unit must satisfy the requirements of the NVR/AQTF or their successors; and Industry regulations for certification and licensing; and, </w:t>
      </w:r>
    </w:p>
    <w:p w:rsidR="00000000" w:rsidRPr="006E1267" w:rsidP="006E1267">
      <w:pPr>
        <w:pStyle w:val="ListBullet"/>
      </w:pPr>
      <w:r w:rsidRPr="006E1267">
        <w:t>this unit is best assessed in the context of this sector’s work environment;</w:t>
      </w:r>
    </w:p>
    <w:p w:rsidR="00000000" w:rsidRPr="006E1267" w:rsidP="006E1267">
      <w:pPr>
        <w:pStyle w:val="ListBullet"/>
      </w:pPr>
      <w:r w:rsidRPr="006E1267">
        <w:t>where personal safety or environmental damage are limiting factors, assessment may occur in a simulated environment provided it is realistic and sufficiently rigorous to cover all</w:t>
      </w:r>
      <w:r w:rsidRPr="006E1267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6E1267" w:rsidP="006E1267">
      <w:pPr>
        <w:pStyle w:val="ListBullet"/>
      </w:pPr>
      <w:r w:rsidRPr="006E1267">
        <w:t>this unit must be assessed in compliance with relevant legislation/regulation a</w:t>
      </w:r>
      <w:r w:rsidRPr="006E1267">
        <w:t>nd using policies, procedures, processes and operational manuals directly related to the industry sector for which it is being assessed; and,</w:t>
      </w:r>
    </w:p>
    <w:p w:rsidR="00000000" w:rsidRPr="006E1267" w:rsidP="006E1267">
      <w:pPr>
        <w:pStyle w:val="ListBullet"/>
      </w:pPr>
      <w:r w:rsidRPr="006E1267">
        <w:t>assessment may be conducted in conjunction with the assessment of other Units of Competency; and,</w:t>
      </w:r>
    </w:p>
    <w:p w:rsidR="00000000" w:rsidRPr="006E1267" w:rsidP="006E1267">
      <w:pPr>
        <w:pStyle w:val="ListBullet"/>
      </w:pPr>
      <w:r w:rsidRPr="006E1267">
        <w:t xml:space="preserve">assessment must </w:t>
      </w:r>
      <w:r w:rsidRPr="006E1267">
        <w:t>confirm consistent performance can be applied in a range of relevant workplace circumstances; and,</w:t>
      </w:r>
    </w:p>
    <w:p w:rsidR="00000000" w:rsidRPr="006E1267" w:rsidP="006E1267">
      <w:pPr>
        <w:pStyle w:val="ListBullet"/>
      </w:pPr>
      <w:r w:rsidRPr="006E1267">
        <w:t>assessors must demonstrate the performance evidence, and knowledge evidence as outlined in this Unit of Competency, and through the minimum years of current*</w:t>
      </w:r>
      <w:r w:rsidRPr="006E1267">
        <w:t xml:space="preserve"> work experience specified below in an Industry sector relevant to the outcomes of the unit; or,</w:t>
      </w:r>
    </w:p>
    <w:p w:rsidR="00000000" w:rsidRPr="006E1267" w:rsidP="006E1267">
      <w:pPr>
        <w:pStyle w:val="ListBullet"/>
      </w:pPr>
      <w:r w:rsidRPr="006E1267">
        <w:t>where the assessor does not meet experience requirements a co-assessment or partnership arrangement must exist between the qualified assessor and an Industry s</w:t>
      </w:r>
      <w:r w:rsidRPr="006E1267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6E1267">
        <w:t>wledge from the minimum years of current work experience specified below in the Industry sector, including time spent in roles related to the unit being assessed; and,</w:t>
      </w:r>
    </w:p>
    <w:p w:rsidR="00000000" w:rsidRPr="006E1267" w:rsidP="006E1267">
      <w:pPr>
        <w:pStyle w:val="ListBullet"/>
      </w:pPr>
      <w:r w:rsidRPr="006E1267">
        <w:t>assessor and Industry subject matter expert requirements differ depending on the Austral</w:t>
      </w:r>
      <w:r w:rsidRPr="006E1267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E12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Required assessor or Industry subject matter expert experience</w:t>
            </w:r>
          </w:p>
        </w:tc>
      </w:tr>
      <w:tr w:rsidTr="006E12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Drilling, Metalliferous Mining, Coal Mining, Extract</w:t>
            </w:r>
            <w:r w:rsidRPr="006E1267">
              <w:t>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1 Year</w:t>
            </w:r>
          </w:p>
        </w:tc>
      </w:tr>
      <w:tr w:rsidTr="006E12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2 Years</w:t>
            </w:r>
          </w:p>
        </w:tc>
      </w:tr>
      <w:tr w:rsidTr="006E12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3 Years</w:t>
            </w:r>
          </w:p>
        </w:tc>
      </w:tr>
      <w:tr w:rsidTr="006E12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5 Years</w:t>
            </w:r>
          </w:p>
        </w:tc>
      </w:tr>
      <w:tr w:rsidTr="006E126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267">
            <w:pPr>
              <w:pStyle w:val="BodyText"/>
              <w:rPr>
                <w:lang w:val="en-NZ"/>
              </w:rPr>
            </w:pPr>
            <w:r w:rsidRPr="006E126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1267" w:rsidP="006E1267">
            <w:pPr>
              <w:pStyle w:val="BodyText"/>
            </w:pPr>
            <w:r w:rsidRPr="006E126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E1267">
              <w:t>ndard is specified should comply with any relevant regulation.</w:t>
            </w:r>
          </w:p>
        </w:tc>
      </w:tr>
    </w:tbl>
    <w:p w:rsidR="00000000" w:rsidRPr="006E1267" w:rsidP="000F02EB">
      <w:pPr>
        <w:pStyle w:val="BodyText"/>
      </w:pPr>
      <w:r w:rsidRPr="006E1267">
        <w:t>*Assessors can demonstrate current work experience through employment within Industry in a role relevant to the outcomes of the Unit; or, for external assessors this can be demonstrated throu</w:t>
      </w:r>
      <w:r w:rsidRPr="006E1267">
        <w:t>gh exposure to Industry by conducting frequent site assessments across various locations.</w:t>
      </w:r>
    </w:p>
    <w:p w:rsidR="00000000" w:rsidRPr="006E1267" w:rsidP="000F02EB">
      <w:pPr>
        <w:pStyle w:val="BodyText"/>
      </w:pPr>
      <w:r w:rsidRPr="006E1267">
        <w:t>**Where a unit is being delivered outside of a Qualification the first numeric character in the Unit code should be considered to indicate the AQF level</w:t>
      </w:r>
    </w:p>
    <w:p w:rsidR="00000000" w:rsidRPr="006E1267" w:rsidP="006E1267">
      <w:pPr>
        <w:pStyle w:val="Heading1"/>
      </w:pPr>
      <w:bookmarkStart w:id="5" w:name="O_673329"/>
      <w:bookmarkEnd w:id="5"/>
      <w:r w:rsidRPr="006E1267">
        <w:t>Links</w:t>
      </w:r>
    </w:p>
    <w:p w:rsidR="00000000" w:rsidRPr="006E1267" w:rsidP="000F02EB">
      <w:pPr>
        <w:pStyle w:val="BodyText"/>
      </w:pPr>
      <w:r w:rsidRPr="006E12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7D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1267" w:rsidP="006E1267"/>
    <w:sectPr w:rsidSect="006E12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7" w:rsidRPr="000F02EB" w:rsidP="000F0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EB" w:rsidP="006E1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2EB" w:rsidP="006E1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2EB" w:rsidP="006E1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267" w:rsidRPr="000F02EB" w:rsidP="000F0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EB" w:rsidRPr="002D2AF8" w:rsidP="006E1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RIIMEX302D Assess ground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02EB" w:rsidP="006E1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00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14B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ED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267"/>
  </w:style>
  <w:style w:type="character" w:customStyle="1" w:styleId="Heading1Char">
    <w:name w:val="Heading 1 Char"/>
    <w:basedOn w:val="DefaultParagraphFont"/>
    <w:link w:val="Heading1"/>
    <w:rsid w:val="006E1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2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2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12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2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267"/>
    <w:rPr>
      <w:b/>
      <w:spacing w:val="0"/>
    </w:rPr>
  </w:style>
  <w:style w:type="paragraph" w:customStyle="1" w:styleId="SuperTitle">
    <w:name w:val="SuperTitle"/>
    <w:basedOn w:val="Title"/>
    <w:rsid w:val="006E1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2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267"/>
    <w:rPr>
      <w:i/>
    </w:rPr>
  </w:style>
  <w:style w:type="paragraph" w:styleId="Caption">
    <w:name w:val="caption"/>
    <w:basedOn w:val="BodyText"/>
    <w:next w:val="Normal"/>
    <w:qFormat/>
    <w:rsid w:val="006E1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267"/>
  </w:style>
  <w:style w:type="paragraph" w:styleId="TableofFigures">
    <w:name w:val="table of figures"/>
    <w:basedOn w:val="Normal"/>
    <w:next w:val="Normal"/>
    <w:semiHidden/>
    <w:rsid w:val="006E1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2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1267"/>
    <w:rPr>
      <w:rFonts w:ascii="Wingdings" w:hAnsi="Wingdings"/>
    </w:rPr>
  </w:style>
  <w:style w:type="paragraph" w:customStyle="1" w:styleId="TableHeading">
    <w:name w:val="Table Heading"/>
    <w:basedOn w:val="HeadingBase"/>
    <w:rsid w:val="006E1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267"/>
    <w:rPr>
      <w:color w:val="0033CC"/>
      <w:u w:val="none"/>
    </w:rPr>
  </w:style>
  <w:style w:type="paragraph" w:customStyle="1" w:styleId="BodyTextRight">
    <w:name w:val="Body Text Right"/>
    <w:basedOn w:val="BodyText"/>
    <w:rsid w:val="006E1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2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267"/>
    <w:rPr>
      <w:sz w:val="32"/>
    </w:rPr>
  </w:style>
  <w:style w:type="paragraph" w:customStyle="1" w:styleId="HeadingProcedure">
    <w:name w:val="Heading Procedure"/>
    <w:basedOn w:val="HeadingBase"/>
    <w:next w:val="Normal"/>
    <w:rsid w:val="006E1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267"/>
    <w:pPr>
      <w:spacing w:before="60" w:after="60"/>
    </w:pPr>
  </w:style>
  <w:style w:type="paragraph" w:styleId="ListContinue">
    <w:name w:val="List Continue"/>
    <w:basedOn w:val="List"/>
    <w:rsid w:val="006E1267"/>
    <w:pPr>
      <w:ind w:firstLine="0"/>
    </w:pPr>
  </w:style>
  <w:style w:type="paragraph" w:customStyle="1" w:styleId="ListNote">
    <w:name w:val="List Note"/>
    <w:basedOn w:val="List"/>
    <w:rsid w:val="006E1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267"/>
    <w:rPr>
      <w:rFonts w:ascii="Courier New" w:hAnsi="Courier New"/>
    </w:rPr>
  </w:style>
  <w:style w:type="paragraph" w:customStyle="1" w:styleId="NoteBullet">
    <w:name w:val="Note Bullet"/>
    <w:basedOn w:val="Note"/>
    <w:rsid w:val="006E1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2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267"/>
    <w:rPr>
      <w:b/>
      <w:smallCaps/>
    </w:rPr>
  </w:style>
  <w:style w:type="paragraph" w:customStyle="1" w:styleId="TableListNumber">
    <w:name w:val="Table List Number"/>
    <w:basedOn w:val="ListNumber"/>
    <w:rsid w:val="006E1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267"/>
    <w:pPr>
      <w:numPr>
        <w:numId w:val="9"/>
      </w:numPr>
    </w:pPr>
  </w:style>
  <w:style w:type="paragraph" w:customStyle="1" w:styleId="ListAlpha2">
    <w:name w:val="List Alpha 2"/>
    <w:basedOn w:val="List2"/>
    <w:rsid w:val="006E1267"/>
    <w:pPr>
      <w:numPr>
        <w:numId w:val="8"/>
      </w:numPr>
    </w:pPr>
  </w:style>
  <w:style w:type="paragraph" w:styleId="List2">
    <w:name w:val="List 2"/>
    <w:basedOn w:val="BodyText"/>
    <w:rsid w:val="006E1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2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2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267"/>
    <w:pPr>
      <w:numPr>
        <w:numId w:val="4"/>
      </w:numPr>
    </w:pPr>
  </w:style>
  <w:style w:type="paragraph" w:styleId="ListContinue2">
    <w:name w:val="List Continue 2"/>
    <w:basedOn w:val="List2"/>
    <w:rsid w:val="006E1267"/>
    <w:pPr>
      <w:ind w:firstLine="0"/>
    </w:pPr>
  </w:style>
  <w:style w:type="paragraph" w:styleId="ListContinue3">
    <w:name w:val="List Continue 3"/>
    <w:basedOn w:val="List3"/>
    <w:rsid w:val="006E1267"/>
    <w:pPr>
      <w:ind w:left="1021" w:firstLine="0"/>
    </w:pPr>
  </w:style>
  <w:style w:type="paragraph" w:styleId="ListContinue4">
    <w:name w:val="List Continue 4"/>
    <w:basedOn w:val="List4"/>
    <w:rsid w:val="006E1267"/>
    <w:pPr>
      <w:ind w:firstLine="0"/>
    </w:pPr>
  </w:style>
  <w:style w:type="paragraph" w:styleId="ListContinue5">
    <w:name w:val="List Continue 5"/>
    <w:basedOn w:val="List5"/>
    <w:rsid w:val="006E1267"/>
    <w:pPr>
      <w:ind w:firstLine="0"/>
    </w:pPr>
  </w:style>
  <w:style w:type="paragraph" w:styleId="ListNumber3">
    <w:name w:val="List Number 3"/>
    <w:basedOn w:val="List3"/>
    <w:rsid w:val="006E1267"/>
    <w:pPr>
      <w:numPr>
        <w:numId w:val="5"/>
      </w:numPr>
    </w:pPr>
  </w:style>
  <w:style w:type="paragraph" w:styleId="ListNumber4">
    <w:name w:val="List Number 4"/>
    <w:basedOn w:val="List4"/>
    <w:rsid w:val="006E1267"/>
    <w:pPr>
      <w:numPr>
        <w:numId w:val="6"/>
      </w:numPr>
    </w:pPr>
  </w:style>
  <w:style w:type="paragraph" w:styleId="ListNumber5">
    <w:name w:val="List Number 5"/>
    <w:basedOn w:val="List5"/>
    <w:rsid w:val="006E1267"/>
    <w:pPr>
      <w:numPr>
        <w:numId w:val="7"/>
      </w:numPr>
    </w:pPr>
  </w:style>
  <w:style w:type="paragraph" w:styleId="BlockText">
    <w:name w:val="Block Text"/>
    <w:basedOn w:val="Normal"/>
    <w:rsid w:val="006E1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267"/>
    <w:rPr>
      <w:sz w:val="16"/>
      <w:vertAlign w:val="superscript"/>
    </w:rPr>
  </w:style>
  <w:style w:type="character" w:customStyle="1" w:styleId="Symbols">
    <w:name w:val="Symbols"/>
    <w:basedOn w:val="DefaultParagraphFont"/>
    <w:rsid w:val="006E1267"/>
    <w:rPr>
      <w:rFonts w:ascii="Symbol" w:hAnsi="Symbol"/>
    </w:rPr>
  </w:style>
  <w:style w:type="character" w:customStyle="1" w:styleId="MenuOptions">
    <w:name w:val="Menu Options"/>
    <w:basedOn w:val="DefaultParagraphFont"/>
    <w:rsid w:val="006E1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267"/>
    <w:rPr>
      <w:b/>
    </w:rPr>
  </w:style>
  <w:style w:type="character" w:customStyle="1" w:styleId="Underlined">
    <w:name w:val="Underlined"/>
    <w:basedOn w:val="DefaultParagraphFont"/>
    <w:rsid w:val="006E1267"/>
    <w:rPr>
      <w:u w:val="single"/>
    </w:rPr>
  </w:style>
  <w:style w:type="paragraph" w:customStyle="1" w:styleId="TableBodyTextRight">
    <w:name w:val="Table Body Text Right"/>
    <w:basedOn w:val="TableBodyText"/>
    <w:rsid w:val="006E1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267"/>
    <w:rPr>
      <w:sz w:val="18"/>
    </w:rPr>
  </w:style>
  <w:style w:type="paragraph" w:customStyle="1" w:styleId="BodySmallRight">
    <w:name w:val="Body Small Right"/>
    <w:basedOn w:val="BodyTextRight"/>
    <w:rsid w:val="006E1267"/>
    <w:rPr>
      <w:sz w:val="18"/>
      <w:szCs w:val="18"/>
    </w:rPr>
  </w:style>
  <w:style w:type="paragraph" w:customStyle="1" w:styleId="MarginEdition">
    <w:name w:val="Margin Edition"/>
    <w:basedOn w:val="MarginNote"/>
    <w:rsid w:val="006E1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267"/>
    <w:rPr>
      <w:sz w:val="2"/>
      <w:szCs w:val="2"/>
    </w:rPr>
  </w:style>
  <w:style w:type="character" w:customStyle="1" w:styleId="Small">
    <w:name w:val="Small"/>
    <w:basedOn w:val="DefaultParagraphFont"/>
    <w:rsid w:val="006E1267"/>
    <w:rPr>
      <w:sz w:val="16"/>
    </w:rPr>
  </w:style>
  <w:style w:type="paragraph" w:customStyle="1" w:styleId="WideTable">
    <w:name w:val="Wide Table"/>
    <w:basedOn w:val="Normal"/>
    <w:rsid w:val="006E1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267"/>
  </w:style>
  <w:style w:type="paragraph" w:styleId="Quote">
    <w:name w:val="Quote"/>
    <w:basedOn w:val="Heading1"/>
    <w:link w:val="QuoteChar"/>
    <w:qFormat/>
    <w:rsid w:val="006E1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267"/>
    <w:pPr>
      <w:pageBreakBefore/>
    </w:pPr>
  </w:style>
  <w:style w:type="paragraph" w:customStyle="1" w:styleId="Border">
    <w:name w:val="Border"/>
    <w:basedOn w:val="Normal"/>
    <w:qFormat/>
    <w:rsid w:val="006E1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267"/>
    <w:rPr>
      <w:u w:val="single"/>
    </w:rPr>
  </w:style>
  <w:style w:type="character" w:customStyle="1" w:styleId="BoldandItalics">
    <w:name w:val="Bold and Italics"/>
    <w:qFormat/>
    <w:rsid w:val="006E1267"/>
    <w:rPr>
      <w:b/>
      <w:i/>
      <w:u w:val="none"/>
    </w:rPr>
  </w:style>
  <w:style w:type="paragraph" w:styleId="BalloonText">
    <w:name w:val="Balloon Text"/>
    <w:basedOn w:val="Normal"/>
    <w:link w:val="BalloonTextChar"/>
    <w:rsid w:val="006E1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267"/>
    <w:pPr>
      <w:spacing w:before="0" w:after="0"/>
    </w:pPr>
  </w:style>
  <w:style w:type="paragraph" w:customStyle="1" w:styleId="BodyTextBold">
    <w:name w:val="Body Text Bold"/>
    <w:basedOn w:val="BodyText"/>
    <w:qFormat/>
    <w:rsid w:val="006E1267"/>
    <w:rPr>
      <w:b/>
    </w:rPr>
  </w:style>
  <w:style w:type="character" w:styleId="Hyperlink">
    <w:name w:val="Hyperlink"/>
    <w:basedOn w:val="DefaultParagraphFont"/>
    <w:uiPriority w:val="99"/>
    <w:unhideWhenUsed/>
    <w:rsid w:val="000F0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5411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RIIMEX302D Assess ground conditions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