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D1CD2" w:rsidP="004D1CD2">
      <w:pPr>
        <w:pStyle w:val="Title"/>
      </w:pPr>
      <w:r>
        <w:fldChar w:fldCharType="begin"/>
      </w:r>
      <w:r>
        <w:instrText xml:space="preserve"> TITLE   \* MERGEFORMAT </w:instrText>
      </w:r>
      <w:r>
        <w:fldChar w:fldCharType="separate"/>
      </w:r>
      <w:r>
        <w:t>RIIMCU605E Establish and maintain inrush management systems</w:t>
      </w:r>
      <w:r>
        <w:fldChar w:fldCharType="end"/>
      </w:r>
    </w:p>
    <w:p w:rsidR="004D1CD2" w:rsidP="004D1CD2">
      <w:pPr>
        <w:pStyle w:val="Version"/>
        <w:sectPr w:rsidSect="00E833C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833C3" w:rsidP="00E833C3">
      <w:pPr>
        <w:pStyle w:val="SuperHeading"/>
      </w:pPr>
      <w:r w:rsidRPr="00E833C3">
        <w:t>RIIMCU605E Establish and maintain inrush management systems</w:t>
      </w:r>
    </w:p>
    <w:p w:rsidR="00000000" w:rsidRPr="00E833C3" w:rsidP="00E833C3">
      <w:pPr>
        <w:pStyle w:val="Heading1"/>
      </w:pPr>
      <w:bookmarkStart w:id="1" w:name="O_1108636"/>
      <w:bookmarkEnd w:id="1"/>
      <w:r w:rsidRPr="00E833C3">
        <w:t>Modification History</w:t>
      </w:r>
    </w:p>
    <w:tbl>
      <w:tblPr>
        <w:tblW w:w="9522" w:type="dxa"/>
        <w:tblLayout w:type="fixed"/>
        <w:tblCellMar>
          <w:left w:w="62" w:type="dxa"/>
          <w:right w:w="62" w:type="dxa"/>
        </w:tblCellMar>
        <w:tblLook w:val="0000"/>
      </w:tblPr>
      <w:tblGrid>
        <w:gridCol w:w="2929"/>
        <w:gridCol w:w="6593"/>
      </w:tblGrid>
      <w:tr w:rsidTr="00E833C3">
        <w:tblPrEx>
          <w:tblW w:w="9522" w:type="dxa"/>
          <w:tblLayout w:type="fixed"/>
          <w:tblCellMar>
            <w:left w:w="62" w:type="dxa"/>
            <w:right w:w="62" w:type="dxa"/>
          </w:tblCellMar>
          <w:tblLook w:val="0000"/>
        </w:tblPrEx>
        <w:trPr>
          <w:trHeight w:val="438"/>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833C3" w:rsidP="00E833C3">
            <w:pPr>
              <w:pStyle w:val="BodyText"/>
            </w:pPr>
            <w:r w:rsidRPr="00E833C3">
              <w:rPr>
                <w:rStyle w:val="SpecialBold"/>
              </w:rPr>
              <w:t>Release</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33C3">
            <w:pPr>
              <w:pStyle w:val="BodyText"/>
              <w:rPr>
                <w:lang w:val="en-NZ"/>
              </w:rPr>
            </w:pPr>
            <w:r w:rsidRPr="00E833C3">
              <w:rPr>
                <w:rStyle w:val="SpecialBold"/>
              </w:rPr>
              <w:t>Comments</w:t>
            </w:r>
          </w:p>
        </w:tc>
      </w:tr>
      <w:tr w:rsidTr="00E833C3">
        <w:tblPrEx>
          <w:tblW w:w="9522" w:type="dxa"/>
          <w:tblLayout w:type="fixed"/>
          <w:tblCellMar>
            <w:left w:w="62" w:type="dxa"/>
            <w:right w:w="62" w:type="dxa"/>
          </w:tblCellMar>
          <w:tblLook w:val="0000"/>
        </w:tblPrEx>
        <w:trPr>
          <w:trHeight w:val="742"/>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33C3">
            <w:pPr>
              <w:pStyle w:val="BodyText"/>
              <w:rPr>
                <w:lang w:val="en-NZ"/>
              </w:rPr>
            </w:pPr>
            <w:r w:rsidRPr="00E833C3">
              <w:t>Release 1</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833C3" w:rsidP="00E833C3">
            <w:pPr>
              <w:pStyle w:val="BodyText"/>
            </w:pPr>
            <w:r w:rsidRPr="00E833C3">
              <w:t>This version first released with RII Resources and Infrastructure Industry Training Package Version 5.0.</w:t>
            </w:r>
          </w:p>
        </w:tc>
      </w:tr>
    </w:tbl>
    <w:p w:rsidR="00000000" w:rsidRPr="00E833C3" w:rsidP="00E833C3">
      <w:pPr>
        <w:pStyle w:val="BodyText"/>
      </w:pPr>
    </w:p>
    <w:p w:rsidR="00000000" w:rsidRPr="00E833C3" w:rsidP="00E833C3">
      <w:pPr>
        <w:pStyle w:val="AllowPageBreak"/>
      </w:pPr>
    </w:p>
    <w:p w:rsidR="00000000" w:rsidRPr="00E833C3" w:rsidP="00E833C3">
      <w:pPr>
        <w:pStyle w:val="Heading1"/>
      </w:pPr>
      <w:bookmarkStart w:id="2" w:name="O_1108641"/>
      <w:bookmarkEnd w:id="2"/>
      <w:r w:rsidRPr="00E833C3">
        <w:t>Application</w:t>
      </w:r>
    </w:p>
    <w:p w:rsidR="00000000" w:rsidRPr="00E833C3" w:rsidP="004D1CD2">
      <w:pPr>
        <w:pStyle w:val="BodyText"/>
      </w:pPr>
      <w:r w:rsidRPr="00E833C3">
        <w:t>This unit describes the skills and knowledge requir</w:t>
      </w:r>
      <w:r w:rsidRPr="00E833C3">
        <w:t>ed to establish and maintain inrush management systems in coal mining, including design, development, audit and review processes and procedures.</w:t>
      </w:r>
    </w:p>
    <w:p w:rsidR="00000000" w:rsidRPr="00E833C3" w:rsidP="004D1CD2">
      <w:pPr>
        <w:pStyle w:val="BodyText"/>
      </w:pPr>
      <w:r w:rsidRPr="00E833C3">
        <w:t>It applies to those working in management roles. They generally perform complex, non</w:t>
      </w:r>
      <w:r w:rsidRPr="00E833C3">
        <w:noBreakHyphen/>
        <w:t>routine tasks involving st</w:t>
      </w:r>
      <w:r w:rsidRPr="00E833C3">
        <w:t>rategic and planning activities and are responsible for establishing and maintaining operational systems and plans.</w:t>
      </w:r>
    </w:p>
    <w:p w:rsidR="00000000" w:rsidRPr="00E833C3" w:rsidP="004D1CD2">
      <w:pPr>
        <w:pStyle w:val="BodyText"/>
      </w:pPr>
      <w:r w:rsidRPr="00E833C3">
        <w:t>Licensing, legislative and certification requirements that apply to this unit can vary between states, territories and industry sectors. Use</w:t>
      </w:r>
      <w:r w:rsidRPr="00E833C3">
        <w:t>rs must check requirements with relevant body before applying the unit.</w:t>
      </w:r>
    </w:p>
    <w:p w:rsidR="00000000" w:rsidRPr="00E833C3" w:rsidP="00E833C3">
      <w:pPr>
        <w:pStyle w:val="Heading1"/>
      </w:pPr>
      <w:bookmarkStart w:id="3" w:name="O_1108640"/>
      <w:bookmarkEnd w:id="3"/>
      <w:r w:rsidRPr="00E833C3">
        <w:t>Unit Sector</w:t>
      </w:r>
    </w:p>
    <w:p w:rsidR="00000000" w:rsidRPr="00E833C3" w:rsidP="004D1CD2">
      <w:pPr>
        <w:pStyle w:val="BodyText"/>
      </w:pPr>
      <w:r w:rsidRPr="00E833C3">
        <w:t>Coal mining (underground)</w:t>
      </w:r>
    </w:p>
    <w:p w:rsidR="00000000" w:rsidRPr="00E833C3" w:rsidP="00E833C3">
      <w:pPr>
        <w:pStyle w:val="Heading1"/>
      </w:pPr>
      <w:bookmarkStart w:id="4" w:name="O_1108639"/>
      <w:bookmarkEnd w:id="4"/>
      <w:r w:rsidRPr="00E833C3">
        <w:t>Elements and Performance Criteria</w:t>
      </w:r>
    </w:p>
    <w:tbl>
      <w:tblPr>
        <w:tblW w:w="9568" w:type="dxa"/>
        <w:tblLayout w:type="fixed"/>
        <w:tblCellMar>
          <w:left w:w="62" w:type="dxa"/>
          <w:right w:w="62" w:type="dxa"/>
        </w:tblCellMar>
        <w:tblLook w:val="0000"/>
      </w:tblPr>
      <w:tblGrid>
        <w:gridCol w:w="2376"/>
        <w:gridCol w:w="7192"/>
      </w:tblGrid>
      <w:tr w:rsidTr="00E833C3">
        <w:tblPrEx>
          <w:tblW w:w="9568" w:type="dxa"/>
          <w:tblLayout w:type="fixed"/>
          <w:tblCellMar>
            <w:left w:w="62" w:type="dxa"/>
            <w:right w:w="62" w:type="dxa"/>
          </w:tblCellMar>
          <w:tblLook w:val="0000"/>
        </w:tblPrEx>
        <w:trPr>
          <w:tblHeader/>
        </w:trPr>
        <w:tc>
          <w:tcPr>
            <w:tcW w:w="2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833C3" w:rsidP="00E833C3">
            <w:pPr>
              <w:pStyle w:val="BodyText"/>
            </w:pPr>
            <w:r w:rsidRPr="00E833C3">
              <w:rPr>
                <w:rStyle w:val="SpecialBold"/>
              </w:rPr>
              <w:t>ELEMENT</w:t>
            </w:r>
          </w:p>
        </w:tc>
        <w:tc>
          <w:tcPr>
            <w:tcW w:w="7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33C3">
            <w:pPr>
              <w:pStyle w:val="BodyText"/>
              <w:rPr>
                <w:lang w:val="en-NZ"/>
              </w:rPr>
            </w:pPr>
            <w:r w:rsidRPr="00E833C3">
              <w:rPr>
                <w:rStyle w:val="SpecialBold"/>
              </w:rPr>
              <w:t>PERFORMANCE CRITERIA</w:t>
            </w:r>
          </w:p>
        </w:tc>
      </w:tr>
      <w:tr w:rsidTr="00E833C3">
        <w:tblPrEx>
          <w:tblW w:w="9568" w:type="dxa"/>
          <w:tblLayout w:type="fixed"/>
          <w:tblCellMar>
            <w:left w:w="62" w:type="dxa"/>
            <w:right w:w="62" w:type="dxa"/>
          </w:tblCellMar>
          <w:tblLook w:val="0000"/>
        </w:tblPrEx>
        <w:tc>
          <w:tcPr>
            <w:tcW w:w="2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833C3" w:rsidP="00E833C3">
            <w:pPr>
              <w:pStyle w:val="BodyText"/>
            </w:pPr>
            <w:r w:rsidRPr="00E833C3">
              <w:rPr>
                <w:rStyle w:val="Emphasis"/>
              </w:rPr>
              <w:t>Elements describe the essential outcomes.</w:t>
            </w:r>
          </w:p>
        </w:tc>
        <w:tc>
          <w:tcPr>
            <w:tcW w:w="7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33C3">
            <w:pPr>
              <w:pStyle w:val="BodyText"/>
              <w:rPr>
                <w:lang w:val="en-NZ"/>
              </w:rPr>
            </w:pPr>
            <w:r w:rsidRPr="00E833C3">
              <w:rPr>
                <w:rStyle w:val="Emphasis"/>
              </w:rPr>
              <w:t>Performance criteria describe the performance needed to demonstrate achievement of the element.</w:t>
            </w:r>
          </w:p>
        </w:tc>
      </w:tr>
      <w:tr w:rsidTr="00E833C3">
        <w:tblPrEx>
          <w:tblW w:w="9568" w:type="dxa"/>
          <w:tblLayout w:type="fixed"/>
          <w:tblCellMar>
            <w:left w:w="62" w:type="dxa"/>
            <w:right w:w="62" w:type="dxa"/>
          </w:tblCellMar>
          <w:tblLook w:val="0000"/>
        </w:tblPrEx>
        <w:tc>
          <w:tcPr>
            <w:tcW w:w="2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33C3">
            <w:pPr>
              <w:pStyle w:val="List"/>
              <w:rPr>
                <w:lang w:val="en-NZ"/>
              </w:rPr>
            </w:pPr>
            <w:r w:rsidRPr="00E833C3">
              <w:t>1. Plan and prepare to establish and maintain inrush management system</w:t>
            </w:r>
          </w:p>
        </w:tc>
        <w:tc>
          <w:tcPr>
            <w:tcW w:w="7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833C3" w:rsidP="00E833C3">
            <w:pPr>
              <w:pStyle w:val="List"/>
            </w:pPr>
            <w:r w:rsidRPr="00E833C3">
              <w:t xml:space="preserve">1.1 Access, interpret and apply inrush management documentation </w:t>
            </w:r>
          </w:p>
          <w:p w:rsidR="00000000" w:rsidRPr="00E833C3" w:rsidP="00E833C3">
            <w:pPr>
              <w:pStyle w:val="List"/>
            </w:pPr>
            <w:r w:rsidRPr="00E833C3">
              <w:t>1.2 Identify the potent</w:t>
            </w:r>
            <w:r w:rsidRPr="00E833C3">
              <w:t>ial sources and effects of inrush</w:t>
            </w:r>
          </w:p>
          <w:p w:rsidR="00000000" w:rsidRPr="00E833C3" w:rsidP="00E833C3">
            <w:pPr>
              <w:pStyle w:val="List"/>
            </w:pPr>
            <w:r w:rsidRPr="00E833C3">
              <w:t>1.3 Analyse and evaluate mine site historical information for indications of inrush potential</w:t>
            </w:r>
          </w:p>
          <w:p w:rsidR="00000000" w:rsidRPr="00E833C3" w:rsidP="00E833C3">
            <w:pPr>
              <w:pStyle w:val="List"/>
            </w:pPr>
            <w:r w:rsidRPr="00E833C3">
              <w:t>1.4 Identify, analyse and evaluate geological and physical conditions that contribute to inrush potential</w:t>
            </w:r>
          </w:p>
          <w:p w:rsidR="00000000" w:rsidRPr="00E833C3" w:rsidP="00E833C3">
            <w:pPr>
              <w:pStyle w:val="List"/>
            </w:pPr>
            <w:r w:rsidRPr="00E833C3">
              <w:t>1.5 Identify, analyse and evaluate inrush hazards and risks</w:t>
            </w:r>
          </w:p>
          <w:p w:rsidR="00000000" w:rsidP="00E833C3">
            <w:pPr>
              <w:pStyle w:val="List"/>
              <w:rPr>
                <w:lang w:val="en-NZ"/>
              </w:rPr>
            </w:pPr>
            <w:r w:rsidRPr="00E833C3">
              <w:t xml:space="preserve">1.6 Identify, analyse and evaluate the effects of inrush on mine </w:t>
            </w:r>
            <w:r w:rsidRPr="00E833C3">
              <w:t>operations and personnel</w:t>
            </w:r>
          </w:p>
        </w:tc>
      </w:tr>
      <w:tr w:rsidTr="00E833C3">
        <w:tblPrEx>
          <w:tblW w:w="9568" w:type="dxa"/>
          <w:tblLayout w:type="fixed"/>
          <w:tblCellMar>
            <w:left w:w="62" w:type="dxa"/>
            <w:right w:w="62" w:type="dxa"/>
          </w:tblCellMar>
          <w:tblLook w:val="0000"/>
        </w:tblPrEx>
        <w:tc>
          <w:tcPr>
            <w:tcW w:w="2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33C3">
            <w:pPr>
              <w:pStyle w:val="List"/>
              <w:rPr>
                <w:lang w:val="en-NZ"/>
              </w:rPr>
            </w:pPr>
            <w:r w:rsidRPr="00E833C3">
              <w:t>2. Identify, analyse and evaluate potential inrush controls</w:t>
            </w:r>
          </w:p>
        </w:tc>
        <w:tc>
          <w:tcPr>
            <w:tcW w:w="7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833C3" w:rsidP="00E833C3">
            <w:pPr>
              <w:pStyle w:val="List"/>
            </w:pPr>
            <w:r w:rsidRPr="00E833C3">
              <w:t xml:space="preserve">2.1 Identify, analyse and evaluate potential </w:t>
            </w:r>
            <w:r w:rsidRPr="00E833C3">
              <w:t>inrush controls</w:t>
            </w:r>
          </w:p>
          <w:p w:rsidR="00000000" w:rsidRPr="00E833C3" w:rsidP="00E833C3">
            <w:pPr>
              <w:pStyle w:val="List"/>
            </w:pPr>
            <w:r w:rsidRPr="00E833C3">
              <w:t>2.2 Identify, analyse and evaluate inrush controls to address matters identified from the review of historical information</w:t>
            </w:r>
          </w:p>
          <w:p w:rsidR="00000000" w:rsidRPr="00E833C3" w:rsidP="00E833C3">
            <w:pPr>
              <w:pStyle w:val="List"/>
            </w:pPr>
            <w:r w:rsidRPr="00E833C3">
              <w:t xml:space="preserve">2.3 Identify, analyse and evaluate inrush controls to address geological and physical conditions </w:t>
            </w:r>
          </w:p>
          <w:p w:rsidR="00000000" w:rsidRPr="00E833C3" w:rsidP="00E833C3">
            <w:pPr>
              <w:pStyle w:val="List"/>
            </w:pPr>
            <w:r w:rsidRPr="00E833C3">
              <w:t>2.4 Identify, analy</w:t>
            </w:r>
            <w:r w:rsidRPr="00E833C3">
              <w:t>se, evaluate and confirm the validity of mine plans and associated records</w:t>
            </w:r>
          </w:p>
          <w:p w:rsidR="00000000" w:rsidP="00E833C3">
            <w:pPr>
              <w:pStyle w:val="List"/>
              <w:rPr>
                <w:lang w:val="en-NZ"/>
              </w:rPr>
            </w:pPr>
            <w:r w:rsidRPr="00E833C3">
              <w:t>2.5 Identify, analyse and evaluate the methods, purposes and capabilities of mine monitoring systems</w:t>
            </w:r>
          </w:p>
        </w:tc>
      </w:tr>
      <w:tr w:rsidTr="00E833C3">
        <w:tblPrEx>
          <w:tblW w:w="9568" w:type="dxa"/>
          <w:tblLayout w:type="fixed"/>
          <w:tblCellMar>
            <w:left w:w="62" w:type="dxa"/>
            <w:right w:w="62" w:type="dxa"/>
          </w:tblCellMar>
          <w:tblLook w:val="0000"/>
        </w:tblPrEx>
        <w:tc>
          <w:tcPr>
            <w:tcW w:w="2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33C3">
            <w:pPr>
              <w:pStyle w:val="List"/>
              <w:rPr>
                <w:lang w:val="en-NZ"/>
              </w:rPr>
            </w:pPr>
            <w:r w:rsidRPr="00E833C3">
              <w:t>3. Design and develop inrush management system</w:t>
            </w:r>
          </w:p>
        </w:tc>
        <w:tc>
          <w:tcPr>
            <w:tcW w:w="7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833C3" w:rsidP="00E833C3">
            <w:pPr>
              <w:pStyle w:val="List"/>
            </w:pPr>
            <w:r w:rsidRPr="00E833C3">
              <w:t>3.1 Design and develop inrush co</w:t>
            </w:r>
            <w:r w:rsidRPr="00E833C3">
              <w:t>ntrols for addressing inrush hazards according to site requirements</w:t>
            </w:r>
          </w:p>
          <w:p w:rsidR="00000000" w:rsidRPr="00E833C3" w:rsidP="00E833C3">
            <w:pPr>
              <w:pStyle w:val="List"/>
            </w:pPr>
            <w:r w:rsidRPr="00E833C3">
              <w:t>3.2 Determine personnel safety measures and techniques and incorporate into inrush management system according to site requirements</w:t>
            </w:r>
          </w:p>
          <w:p w:rsidR="00000000" w:rsidRPr="00E833C3" w:rsidP="00E833C3">
            <w:pPr>
              <w:pStyle w:val="List"/>
            </w:pPr>
            <w:r w:rsidRPr="00E833C3">
              <w:t>3.3 Design and/or incorporate services and infrastructur</w:t>
            </w:r>
            <w:r w:rsidRPr="00E833C3">
              <w:t>e protection measures into inrush management system according to site requirements</w:t>
            </w:r>
          </w:p>
          <w:p w:rsidR="00000000" w:rsidRPr="00E833C3" w:rsidP="00E833C3">
            <w:pPr>
              <w:pStyle w:val="List"/>
            </w:pPr>
            <w:r w:rsidRPr="00E833C3">
              <w:t>3.4 Design and develop mine monitoring requirements relating to inrush according to site requirements</w:t>
            </w:r>
          </w:p>
          <w:p w:rsidR="00000000" w:rsidP="00E833C3">
            <w:pPr>
              <w:pStyle w:val="List"/>
              <w:rPr>
                <w:lang w:val="en-NZ"/>
              </w:rPr>
            </w:pPr>
            <w:r w:rsidRPr="00E833C3">
              <w:t>3.5 Integrate system elements and complete the inrush management system</w:t>
            </w:r>
            <w:r w:rsidRPr="00E833C3">
              <w:t xml:space="preserve"> design</w:t>
            </w:r>
          </w:p>
        </w:tc>
      </w:tr>
      <w:tr w:rsidTr="00E833C3">
        <w:tblPrEx>
          <w:tblW w:w="9568" w:type="dxa"/>
          <w:tblLayout w:type="fixed"/>
          <w:tblCellMar>
            <w:left w:w="62" w:type="dxa"/>
            <w:right w:w="62" w:type="dxa"/>
          </w:tblCellMar>
          <w:tblLook w:val="0000"/>
        </w:tblPrEx>
        <w:tc>
          <w:tcPr>
            <w:tcW w:w="2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33C3">
            <w:pPr>
              <w:pStyle w:val="List"/>
              <w:rPr>
                <w:lang w:val="en-NZ"/>
              </w:rPr>
            </w:pPr>
            <w:r w:rsidRPr="00E833C3">
              <w:t>4. Establish inrush management system</w:t>
            </w:r>
          </w:p>
        </w:tc>
        <w:tc>
          <w:tcPr>
            <w:tcW w:w="7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833C3" w:rsidP="00E833C3">
            <w:pPr>
              <w:pStyle w:val="List"/>
            </w:pPr>
            <w:r w:rsidRPr="00E833C3">
              <w:t>4.1 Develop and establish inrush hazard identification, analysis and reporting procedures according to site requirements</w:t>
            </w:r>
          </w:p>
          <w:p w:rsidR="00000000" w:rsidRPr="00E833C3" w:rsidP="00E833C3">
            <w:pPr>
              <w:pStyle w:val="List"/>
            </w:pPr>
            <w:r w:rsidRPr="00E833C3">
              <w:t>4.2 Establish actions and procedures required in response to inrush indicators according</w:t>
            </w:r>
            <w:r w:rsidRPr="00E833C3">
              <w:t xml:space="preserve"> to site requirements</w:t>
            </w:r>
          </w:p>
          <w:p w:rsidR="00000000" w:rsidRPr="00E833C3" w:rsidP="00E833C3">
            <w:pPr>
              <w:pStyle w:val="List"/>
            </w:pPr>
            <w:r w:rsidRPr="00E833C3">
              <w:t xml:space="preserve">4.3 Develop permit-to-mine procedures according to site requirements </w:t>
            </w:r>
          </w:p>
          <w:p w:rsidR="00000000" w:rsidRPr="00E833C3" w:rsidP="00E833C3">
            <w:pPr>
              <w:pStyle w:val="List"/>
            </w:pPr>
            <w:r w:rsidRPr="00E833C3">
              <w:t>4.4 Establish personnel safety measures and techniques according to site requirements</w:t>
            </w:r>
          </w:p>
          <w:p w:rsidR="00000000" w:rsidRPr="00E833C3" w:rsidP="00E833C3">
            <w:pPr>
              <w:pStyle w:val="List"/>
            </w:pPr>
            <w:r w:rsidRPr="00E833C3">
              <w:t>4.5 Establish services and infrastructure protection measures for minimising inrush damage according to site requirements</w:t>
            </w:r>
          </w:p>
          <w:p w:rsidR="00000000" w:rsidRPr="00E833C3" w:rsidP="00E833C3">
            <w:pPr>
              <w:pStyle w:val="List"/>
            </w:pPr>
            <w:r w:rsidRPr="00E833C3">
              <w:t>4.6 Establish the monitoring, recording and reporting procedures according to site requirements</w:t>
            </w:r>
          </w:p>
          <w:p w:rsidR="00000000" w:rsidRPr="00E833C3" w:rsidP="00E833C3">
            <w:pPr>
              <w:pStyle w:val="List"/>
            </w:pPr>
            <w:r w:rsidRPr="00E833C3">
              <w:t>4.7 Establish emergency response and e</w:t>
            </w:r>
            <w:r w:rsidRPr="00E833C3">
              <w:t>vacuation plans according to site requirements</w:t>
            </w:r>
          </w:p>
          <w:p w:rsidR="00000000" w:rsidP="00E833C3">
            <w:pPr>
              <w:pStyle w:val="List"/>
              <w:rPr>
                <w:lang w:val="en-NZ"/>
              </w:rPr>
            </w:pPr>
            <w:r w:rsidRPr="00E833C3">
              <w:t>4.8 Establish training requirements for inrush management plan</w:t>
            </w:r>
          </w:p>
        </w:tc>
      </w:tr>
      <w:tr w:rsidTr="00E833C3">
        <w:tblPrEx>
          <w:tblW w:w="9568" w:type="dxa"/>
          <w:tblLayout w:type="fixed"/>
          <w:tblCellMar>
            <w:left w:w="62" w:type="dxa"/>
            <w:right w:w="62" w:type="dxa"/>
          </w:tblCellMar>
          <w:tblLook w:val="0000"/>
        </w:tblPrEx>
        <w:tc>
          <w:tcPr>
            <w:tcW w:w="2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33C3">
            <w:pPr>
              <w:pStyle w:val="List"/>
              <w:rPr>
                <w:lang w:val="en-NZ"/>
              </w:rPr>
            </w:pPr>
            <w:r w:rsidRPr="00E833C3">
              <w:t>5. Plan and prepare to implement inrush management system</w:t>
            </w:r>
          </w:p>
        </w:tc>
        <w:tc>
          <w:tcPr>
            <w:tcW w:w="7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833C3" w:rsidP="00E833C3">
            <w:pPr>
              <w:pStyle w:val="List"/>
            </w:pPr>
            <w:r w:rsidRPr="00E833C3">
              <w:t>5.1 Access, interpret and clarify inrush management plan</w:t>
            </w:r>
          </w:p>
          <w:p w:rsidR="00000000" w:rsidRPr="00E833C3" w:rsidP="00E833C3">
            <w:pPr>
              <w:pStyle w:val="List"/>
            </w:pPr>
            <w:r w:rsidRPr="00E833C3">
              <w:t>5.2 Identify, clarify and comm</w:t>
            </w:r>
            <w:r w:rsidRPr="00E833C3">
              <w:t>unicate to all personnel roles and responsibilities according to inrush management plan</w:t>
            </w:r>
          </w:p>
          <w:p w:rsidR="00000000" w:rsidRPr="00E833C3" w:rsidP="00E833C3">
            <w:pPr>
              <w:pStyle w:val="List"/>
            </w:pPr>
            <w:r w:rsidRPr="00E833C3">
              <w:t>5.3 Identify, forecast, obtain and allocate/schedule resources required for implementation of inrush management plan</w:t>
            </w:r>
          </w:p>
          <w:p w:rsidR="00000000" w:rsidP="00E833C3">
            <w:pPr>
              <w:pStyle w:val="List"/>
              <w:rPr>
                <w:lang w:val="en-NZ"/>
              </w:rPr>
            </w:pPr>
            <w:r w:rsidRPr="00E833C3">
              <w:t>5.4 Review inrush management plan implementation pr</w:t>
            </w:r>
            <w:r w:rsidRPr="00E833C3">
              <w:t>ocedures, and implement changes as required</w:t>
            </w:r>
          </w:p>
        </w:tc>
      </w:tr>
      <w:tr w:rsidTr="00E833C3">
        <w:tblPrEx>
          <w:tblW w:w="9568" w:type="dxa"/>
          <w:tblLayout w:type="fixed"/>
          <w:tblCellMar>
            <w:left w:w="62" w:type="dxa"/>
            <w:right w:w="62" w:type="dxa"/>
          </w:tblCellMar>
          <w:tblLook w:val="0000"/>
        </w:tblPrEx>
        <w:tc>
          <w:tcPr>
            <w:tcW w:w="2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33C3">
            <w:pPr>
              <w:pStyle w:val="List"/>
              <w:rPr>
                <w:lang w:val="en-NZ"/>
              </w:rPr>
            </w:pPr>
            <w:r w:rsidRPr="00E833C3">
              <w:t>6. Audit and review inrush management system</w:t>
            </w:r>
          </w:p>
        </w:tc>
        <w:tc>
          <w:tcPr>
            <w:tcW w:w="7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833C3" w:rsidP="00E833C3">
            <w:pPr>
              <w:pStyle w:val="List"/>
            </w:pPr>
            <w:r w:rsidRPr="00E833C3">
              <w:t>6.1 Audit the inrush management system according to site requirements</w:t>
            </w:r>
          </w:p>
          <w:p w:rsidR="00000000" w:rsidRPr="00E833C3" w:rsidP="00E833C3">
            <w:pPr>
              <w:pStyle w:val="List"/>
            </w:pPr>
            <w:r w:rsidRPr="00E833C3">
              <w:t>6.2 Audit mine monitoring systems according to site requirements</w:t>
            </w:r>
          </w:p>
          <w:p w:rsidR="00000000" w:rsidRPr="00E833C3" w:rsidP="00E833C3">
            <w:pPr>
              <w:pStyle w:val="List"/>
            </w:pPr>
            <w:r w:rsidRPr="00E833C3">
              <w:t>6.3 Audit inrush hazard identif</w:t>
            </w:r>
            <w:r w:rsidRPr="00E833C3">
              <w:t>ication, monitoring and response procedures according to site requirements</w:t>
            </w:r>
          </w:p>
          <w:p w:rsidR="00000000" w:rsidRPr="00E833C3" w:rsidP="00E833C3">
            <w:pPr>
              <w:pStyle w:val="List"/>
            </w:pPr>
            <w:r w:rsidRPr="00E833C3">
              <w:t>6.4 Audit recording plans and procedures according to site requirements</w:t>
            </w:r>
          </w:p>
          <w:p w:rsidR="00000000" w:rsidRPr="00E833C3" w:rsidP="00E833C3">
            <w:pPr>
              <w:pStyle w:val="List"/>
            </w:pPr>
            <w:r w:rsidRPr="00E833C3">
              <w:t>6.5 Audit inrush training plan according to inrush management system requirements</w:t>
            </w:r>
          </w:p>
          <w:p w:rsidR="00000000" w:rsidRPr="00E833C3" w:rsidP="00E833C3">
            <w:pPr>
              <w:pStyle w:val="List"/>
            </w:pPr>
            <w:r w:rsidRPr="00E833C3">
              <w:t>6.6 Identify and respond to</w:t>
            </w:r>
            <w:r w:rsidRPr="00E833C3">
              <w:t xml:space="preserve"> instances of non-compliance or other discrepancies/deficiencies revealed by audit </w:t>
            </w:r>
          </w:p>
          <w:p w:rsidR="00000000" w:rsidRPr="00E833C3" w:rsidP="00E833C3">
            <w:pPr>
              <w:pStyle w:val="List"/>
            </w:pPr>
            <w:r w:rsidRPr="00E833C3">
              <w:t>6.7 Maintain records, reports and policy documentation according to site requirements</w:t>
            </w:r>
          </w:p>
        </w:tc>
      </w:tr>
    </w:tbl>
    <w:p w:rsidR="00000000" w:rsidRPr="00E833C3" w:rsidP="00E833C3">
      <w:pPr>
        <w:pStyle w:val="BodyText"/>
      </w:pPr>
    </w:p>
    <w:p w:rsidR="00000000" w:rsidRPr="00E833C3" w:rsidP="00E833C3">
      <w:pPr>
        <w:pStyle w:val="AllowPageBreak"/>
      </w:pPr>
    </w:p>
    <w:p w:rsidR="00000000" w:rsidRPr="00E833C3" w:rsidP="00E833C3">
      <w:pPr>
        <w:pStyle w:val="Heading1"/>
      </w:pPr>
      <w:bookmarkStart w:id="5" w:name="O_1108638"/>
      <w:bookmarkEnd w:id="5"/>
      <w:r w:rsidRPr="00E833C3">
        <w:t>Foundation Skills</w:t>
      </w:r>
    </w:p>
    <w:p w:rsidR="00000000" w:rsidRPr="004D1CD2" w:rsidP="004D1CD2">
      <w:pPr>
        <w:pStyle w:val="BodyText"/>
        <w:rPr>
          <w:i/>
        </w:rPr>
      </w:pPr>
      <w:r w:rsidRPr="004D1CD2">
        <w:rPr>
          <w:rStyle w:val="Emphasis"/>
        </w:rPr>
        <w:t>This section describes those language, literacy, numeracy and employment skills that are essential to performance but not explicit in the performance criteria.</w:t>
      </w:r>
    </w:p>
    <w:tbl>
      <w:tblPr>
        <w:tblW w:w="9522" w:type="dxa"/>
        <w:tblLayout w:type="fixed"/>
        <w:tblCellMar>
          <w:left w:w="62" w:type="dxa"/>
          <w:right w:w="62" w:type="dxa"/>
        </w:tblCellMar>
        <w:tblLook w:val="0000"/>
      </w:tblPr>
      <w:tblGrid>
        <w:gridCol w:w="2330"/>
        <w:gridCol w:w="7192"/>
      </w:tblGrid>
      <w:tr w:rsidTr="00E833C3">
        <w:tblPrEx>
          <w:tblW w:w="9522" w:type="dxa"/>
          <w:tblLayout w:type="fixed"/>
          <w:tblCellMar>
            <w:left w:w="62" w:type="dxa"/>
            <w:right w:w="62" w:type="dxa"/>
          </w:tblCellMar>
          <w:tblLook w:val="0000"/>
        </w:tblPrEx>
        <w:trPr>
          <w:tblHeader/>
        </w:trPr>
        <w:tc>
          <w:tcPr>
            <w:tcW w:w="23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833C3" w:rsidP="00E833C3">
            <w:pPr>
              <w:pStyle w:val="BodyText"/>
            </w:pPr>
            <w:r w:rsidRPr="00E833C3">
              <w:rPr>
                <w:rStyle w:val="SpecialBold"/>
              </w:rPr>
              <w:t>SKILL</w:t>
            </w:r>
          </w:p>
        </w:tc>
        <w:tc>
          <w:tcPr>
            <w:tcW w:w="7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33C3">
            <w:pPr>
              <w:pStyle w:val="BodyText"/>
              <w:rPr>
                <w:lang w:val="en-NZ"/>
              </w:rPr>
            </w:pPr>
            <w:r w:rsidRPr="00E833C3">
              <w:rPr>
                <w:rStyle w:val="SpecialBold"/>
              </w:rPr>
              <w:t>DESCRIPTION</w:t>
            </w:r>
          </w:p>
        </w:tc>
      </w:tr>
      <w:tr w:rsidTr="00E833C3">
        <w:tblPrEx>
          <w:tblW w:w="9522" w:type="dxa"/>
          <w:tblLayout w:type="fixed"/>
          <w:tblCellMar>
            <w:left w:w="62" w:type="dxa"/>
            <w:right w:w="62" w:type="dxa"/>
          </w:tblCellMar>
          <w:tblLook w:val="0000"/>
        </w:tblPrEx>
        <w:tc>
          <w:tcPr>
            <w:tcW w:w="23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33C3">
            <w:pPr>
              <w:pStyle w:val="BodyText"/>
              <w:rPr>
                <w:lang w:val="en-NZ"/>
              </w:rPr>
            </w:pPr>
            <w:r w:rsidRPr="00E833C3">
              <w:t>Oral communication</w:t>
            </w:r>
          </w:p>
        </w:tc>
        <w:tc>
          <w:tcPr>
            <w:tcW w:w="7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833C3">
            <w:pPr>
              <w:pStyle w:val="ListBullet"/>
              <w:rPr>
                <w:lang w:val="en-NZ"/>
              </w:rPr>
            </w:pPr>
            <w:r w:rsidRPr="00E833C3">
              <w:t xml:space="preserve">Conveys information and requirements clearly and listens </w:t>
            </w:r>
            <w:r w:rsidRPr="00E833C3">
              <w:t>actively</w:t>
            </w:r>
          </w:p>
        </w:tc>
      </w:tr>
      <w:tr w:rsidTr="00E833C3">
        <w:tblPrEx>
          <w:tblW w:w="9522" w:type="dxa"/>
          <w:tblLayout w:type="fixed"/>
          <w:tblCellMar>
            <w:left w:w="62" w:type="dxa"/>
            <w:right w:w="62" w:type="dxa"/>
          </w:tblCellMar>
          <w:tblLook w:val="0000"/>
        </w:tblPrEx>
        <w:tc>
          <w:tcPr>
            <w:tcW w:w="23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33C3">
            <w:pPr>
              <w:pStyle w:val="BodyText"/>
              <w:rPr>
                <w:lang w:val="en-NZ"/>
              </w:rPr>
            </w:pPr>
            <w:r w:rsidRPr="00E833C3">
              <w:t>Reading</w:t>
            </w:r>
          </w:p>
        </w:tc>
        <w:tc>
          <w:tcPr>
            <w:tcW w:w="7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33C3">
            <w:pPr>
              <w:pStyle w:val="ListBullet"/>
              <w:rPr>
                <w:lang w:val="en-NZ"/>
              </w:rPr>
            </w:pPr>
            <w:r w:rsidRPr="00E833C3">
              <w:t>Identifies and interprets relevant information from workplace procedures, documentation and legislation</w:t>
            </w:r>
          </w:p>
        </w:tc>
      </w:tr>
      <w:tr w:rsidTr="00E833C3">
        <w:tblPrEx>
          <w:tblW w:w="9522" w:type="dxa"/>
          <w:tblLayout w:type="fixed"/>
          <w:tblCellMar>
            <w:left w:w="62" w:type="dxa"/>
            <w:right w:w="62" w:type="dxa"/>
          </w:tblCellMar>
          <w:tblLook w:val="0000"/>
        </w:tblPrEx>
        <w:tc>
          <w:tcPr>
            <w:tcW w:w="23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33C3">
            <w:pPr>
              <w:pStyle w:val="BodyText"/>
              <w:rPr>
                <w:lang w:val="en-NZ"/>
              </w:rPr>
            </w:pPr>
            <w:r w:rsidRPr="00E833C3">
              <w:t>Writing</w:t>
            </w:r>
          </w:p>
        </w:tc>
        <w:tc>
          <w:tcPr>
            <w:tcW w:w="7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833C3" w:rsidP="00E833C3">
            <w:pPr>
              <w:pStyle w:val="ListBullet"/>
            </w:pPr>
            <w:r w:rsidRPr="00E833C3">
              <w:t xml:space="preserve">Prepares specific information that complies with a range of requirements, using sector-specific </w:t>
            </w:r>
            <w:r w:rsidRPr="00E833C3">
              <w:t>vocabulary, grammatical structures and conventions</w:t>
            </w:r>
          </w:p>
        </w:tc>
      </w:tr>
    </w:tbl>
    <w:p w:rsidR="00000000" w:rsidRPr="00E833C3" w:rsidP="00E833C3">
      <w:pPr>
        <w:pStyle w:val="BodyText"/>
      </w:pPr>
    </w:p>
    <w:p w:rsidR="00000000" w:rsidRPr="00E833C3" w:rsidP="00E833C3">
      <w:pPr>
        <w:pStyle w:val="AllowPageBreak"/>
      </w:pPr>
    </w:p>
    <w:p w:rsidR="00000000" w:rsidRPr="00E833C3" w:rsidP="00E833C3">
      <w:pPr>
        <w:pStyle w:val="Heading1"/>
      </w:pPr>
      <w:bookmarkStart w:id="6" w:name="O_1108637"/>
      <w:bookmarkEnd w:id="6"/>
      <w:r w:rsidRPr="00E833C3">
        <w:t>Unit Mapping Information</w:t>
      </w:r>
    </w:p>
    <w:p w:rsidR="00000000" w:rsidRPr="00E833C3" w:rsidP="004D1CD2">
      <w:pPr>
        <w:pStyle w:val="BodyText"/>
      </w:pPr>
      <w:r w:rsidRPr="00E833C3">
        <w:t>Supersedes and is equivalent to RIIMCU605D Establish and maintain the inrush management plan.</w:t>
      </w:r>
    </w:p>
    <w:p w:rsidR="00000000" w:rsidRPr="00E833C3" w:rsidP="00E833C3">
      <w:pPr>
        <w:pStyle w:val="Heading1"/>
      </w:pPr>
      <w:bookmarkStart w:id="7" w:name="O_1108630"/>
      <w:bookmarkEnd w:id="7"/>
      <w:r w:rsidRPr="00E833C3">
        <w:t>Links</w:t>
      </w:r>
    </w:p>
    <w:p w:rsidR="00000000" w:rsidRPr="00E833C3" w:rsidP="004D1CD2">
      <w:pPr>
        <w:pStyle w:val="BodyText"/>
      </w:pPr>
      <w:r w:rsidRPr="00E833C3">
        <w:t xml:space="preserve">Companion Volume Implementation Guide is found on VETNet - </w:t>
      </w:r>
      <w:r>
        <w:fldChar w:fldCharType="begin"/>
      </w:r>
      <w:r>
        <w:instrText xml:space="preserve"> HYPERLINK "https://vetnet.gov.au/Pages/TrainingDocs.aspx?q=88a61002-9a21-4386-aaf8-69c76e675272" </w:instrText>
      </w:r>
      <w:r>
        <w:fldChar w:fldCharType="separate"/>
      </w:r>
      <w:r w:rsidRPr="00AE27FE">
        <w:rPr>
          <w:rStyle w:val="Hyperlink"/>
        </w:rPr>
        <w:t>https://vetnet.gov.au/Pages/TrainingDocs.aspx?q=88a61002-9a21-4386-aaf8-69c76e675272</w:t>
      </w:r>
      <w:r>
        <w:fldChar w:fldCharType="end"/>
      </w:r>
    </w:p>
    <w:p w:rsidR="00000000" w:rsidRPr="00E833C3" w:rsidP="004D1CD2">
      <w:pPr>
        <w:pStyle w:val="BodyText"/>
        <w:sectPr w:rsidSect="00E833C3">
          <w:headerReference w:type="default" r:id="rId10"/>
          <w:footerReference w:type="default" r:id="rId11"/>
          <w:pgSz w:w="11908" w:h="16833"/>
          <w:pgMar w:top="1702" w:right="1418" w:bottom="1702" w:left="1418" w:header="992" w:footer="992" w:gutter="0"/>
          <w:cols w:space="720"/>
          <w:noEndnote/>
          <w:docGrid w:linePitch="299"/>
        </w:sectPr>
      </w:pPr>
    </w:p>
    <w:p w:rsidR="00000000" w:rsidRPr="00E833C3" w:rsidP="00E833C3">
      <w:pPr>
        <w:pStyle w:val="SuperHeading"/>
      </w:pPr>
      <w:r w:rsidRPr="00E833C3">
        <w:t>Assessment Requirements for RIIMCU605E Establish and maintain inr</w:t>
      </w:r>
      <w:r w:rsidRPr="00E833C3">
        <w:t>ush management systems</w:t>
      </w:r>
    </w:p>
    <w:p w:rsidR="00000000" w:rsidRPr="00E833C3" w:rsidP="00E833C3">
      <w:pPr>
        <w:pStyle w:val="Heading1"/>
      </w:pPr>
      <w:bookmarkStart w:id="8" w:name="O_1108632"/>
      <w:bookmarkEnd w:id="8"/>
      <w:r w:rsidRPr="00E833C3">
        <w:t>Modification History</w:t>
      </w:r>
    </w:p>
    <w:tbl>
      <w:tblPr>
        <w:tblW w:w="9522" w:type="dxa"/>
        <w:tblLayout w:type="fixed"/>
        <w:tblCellMar>
          <w:left w:w="62" w:type="dxa"/>
          <w:right w:w="62" w:type="dxa"/>
        </w:tblCellMar>
        <w:tblLook w:val="0000"/>
      </w:tblPr>
      <w:tblGrid>
        <w:gridCol w:w="2929"/>
        <w:gridCol w:w="6593"/>
      </w:tblGrid>
      <w:tr w:rsidTr="00E833C3">
        <w:tblPrEx>
          <w:tblW w:w="9522" w:type="dxa"/>
          <w:tblLayout w:type="fixed"/>
          <w:tblCellMar>
            <w:left w:w="62" w:type="dxa"/>
            <w:right w:w="62" w:type="dxa"/>
          </w:tblCellMar>
          <w:tblLook w:val="0000"/>
        </w:tblPrEx>
        <w:trPr>
          <w:trHeight w:val="438"/>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833C3" w:rsidP="00E833C3">
            <w:pPr>
              <w:pStyle w:val="BodyText"/>
            </w:pPr>
            <w:r w:rsidRPr="00E833C3">
              <w:rPr>
                <w:rStyle w:val="SpecialBold"/>
              </w:rPr>
              <w:t>Release</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33C3">
            <w:pPr>
              <w:pStyle w:val="BodyText"/>
              <w:rPr>
                <w:lang w:val="en-NZ"/>
              </w:rPr>
            </w:pPr>
            <w:r w:rsidRPr="00E833C3">
              <w:rPr>
                <w:rStyle w:val="SpecialBold"/>
              </w:rPr>
              <w:t>Comments</w:t>
            </w:r>
          </w:p>
        </w:tc>
      </w:tr>
      <w:tr w:rsidTr="00E833C3">
        <w:tblPrEx>
          <w:tblW w:w="9522" w:type="dxa"/>
          <w:tblLayout w:type="fixed"/>
          <w:tblCellMar>
            <w:left w:w="62" w:type="dxa"/>
            <w:right w:w="62" w:type="dxa"/>
          </w:tblCellMar>
          <w:tblLook w:val="0000"/>
        </w:tblPrEx>
        <w:trPr>
          <w:trHeight w:val="742"/>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33C3">
            <w:pPr>
              <w:pStyle w:val="BodyText"/>
              <w:rPr>
                <w:lang w:val="en-NZ"/>
              </w:rPr>
            </w:pPr>
            <w:r w:rsidRPr="00E833C3">
              <w:t>Release 1</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833C3" w:rsidP="00E833C3">
            <w:pPr>
              <w:pStyle w:val="BodyText"/>
            </w:pPr>
            <w:r w:rsidRPr="00E833C3">
              <w:t>This version first released with RII Resources and Infrastructure Industry Training Package Version 5.0.</w:t>
            </w:r>
          </w:p>
        </w:tc>
      </w:tr>
    </w:tbl>
    <w:p w:rsidR="00000000" w:rsidRPr="00E833C3" w:rsidP="00E833C3">
      <w:pPr>
        <w:pStyle w:val="BodyText"/>
      </w:pPr>
    </w:p>
    <w:p w:rsidR="00000000" w:rsidRPr="00E833C3" w:rsidP="00E833C3">
      <w:pPr>
        <w:pStyle w:val="AllowPageBreak"/>
      </w:pPr>
    </w:p>
    <w:p w:rsidR="00000000" w:rsidRPr="00E833C3" w:rsidP="00E833C3">
      <w:pPr>
        <w:pStyle w:val="Heading1"/>
      </w:pPr>
      <w:bookmarkStart w:id="9" w:name="O_1108635"/>
      <w:bookmarkEnd w:id="9"/>
      <w:r w:rsidRPr="00E833C3">
        <w:t>Performance Evidence</w:t>
      </w:r>
    </w:p>
    <w:p w:rsidR="00000000" w:rsidRPr="00E833C3" w:rsidP="004D1CD2">
      <w:pPr>
        <w:pStyle w:val="BodyText"/>
      </w:pPr>
      <w:r w:rsidRPr="00E833C3">
        <w:t>The candidate must demonstrate the ability to complete the tasks outlined in the elements, performance criteria and foundation skills of this unit, including evidence of the ability to:</w:t>
      </w:r>
    </w:p>
    <w:p w:rsidR="00000000" w:rsidRPr="00E833C3" w:rsidP="00E833C3">
      <w:pPr>
        <w:pStyle w:val="ListBullet"/>
      </w:pPr>
      <w:r w:rsidRPr="00E833C3">
        <w:t>establish and maintain the inrush management system on at least two o</w:t>
      </w:r>
      <w:r w:rsidRPr="00E833C3">
        <w:t>ccasions, including:</w:t>
      </w:r>
    </w:p>
    <w:p w:rsidR="00000000" w:rsidRPr="00E833C3" w:rsidP="00E833C3">
      <w:pPr>
        <w:pStyle w:val="ListBullet2"/>
      </w:pPr>
      <w:r w:rsidRPr="00E833C3">
        <w:t>identifying viable options and the selection of inrush management techniques that best meet required outcomes</w:t>
      </w:r>
    </w:p>
    <w:p w:rsidR="00000000" w:rsidRPr="00E833C3" w:rsidP="00E833C3">
      <w:pPr>
        <w:pStyle w:val="ListBullet2"/>
      </w:pPr>
      <w:r w:rsidRPr="00E833C3">
        <w:t>developing and establishing inrush hazard identification, analysis and reporting procedures</w:t>
      </w:r>
    </w:p>
    <w:p w:rsidR="00000000" w:rsidRPr="00E833C3" w:rsidP="00E833C3">
      <w:pPr>
        <w:pStyle w:val="ListBullet2"/>
      </w:pPr>
      <w:r w:rsidRPr="00E833C3">
        <w:t>establishing inrush training requirements</w:t>
      </w:r>
    </w:p>
    <w:p w:rsidR="00000000" w:rsidRPr="00E833C3" w:rsidP="00E833C3">
      <w:pPr>
        <w:pStyle w:val="ListBullet2"/>
      </w:pPr>
      <w:r w:rsidRPr="00E833C3">
        <w:t>conducting enquiries and investigations and preparing reports.</w:t>
      </w:r>
    </w:p>
    <w:p w:rsidR="00000000" w:rsidRPr="00E833C3" w:rsidP="00E833C3">
      <w:pPr>
        <w:pStyle w:val="List"/>
      </w:pPr>
    </w:p>
    <w:p w:rsidR="00000000" w:rsidRPr="00E833C3" w:rsidP="004D1CD2">
      <w:pPr>
        <w:pStyle w:val="BodyText"/>
      </w:pPr>
      <w:r w:rsidRPr="00E833C3">
        <w:t>During the above, the candidate must:</w:t>
      </w:r>
    </w:p>
    <w:p w:rsidR="00000000" w:rsidRPr="00E833C3" w:rsidP="00E833C3">
      <w:pPr>
        <w:pStyle w:val="ListBullet"/>
      </w:pPr>
      <w:r w:rsidRPr="00E833C3">
        <w:t>locate and apply relevant legislation, documentation, policies and procedures and confirm work activity is comp</w:t>
      </w:r>
      <w:r w:rsidRPr="00E833C3">
        <w:t>liant</w:t>
      </w:r>
    </w:p>
    <w:p w:rsidR="00000000" w:rsidRPr="00E833C3" w:rsidP="00E833C3">
      <w:pPr>
        <w:pStyle w:val="ListBullet"/>
      </w:pPr>
      <w:r w:rsidRPr="00E833C3">
        <w:t>implement procedures and techniques for establishing and maintaining inrush management systems, including:</w:t>
      </w:r>
    </w:p>
    <w:p w:rsidR="00000000" w:rsidRPr="00E833C3" w:rsidP="00E833C3">
      <w:pPr>
        <w:pStyle w:val="ListBullet2"/>
      </w:pPr>
      <w:r w:rsidRPr="00E833C3">
        <w:t>assessing risks and consequences of inrush</w:t>
      </w:r>
    </w:p>
    <w:p w:rsidR="00000000" w:rsidRPr="00E833C3" w:rsidP="00E833C3">
      <w:pPr>
        <w:pStyle w:val="ListBullet2"/>
      </w:pPr>
      <w:r w:rsidRPr="00E833C3">
        <w:t>operating hand held monitoring equipment</w:t>
      </w:r>
    </w:p>
    <w:p w:rsidR="00000000" w:rsidRPr="00E833C3" w:rsidP="00E833C3">
      <w:pPr>
        <w:pStyle w:val="ListBullet2"/>
      </w:pPr>
      <w:r w:rsidRPr="00E833C3">
        <w:t>accessing and evaluating data from monitoring equipment</w:t>
      </w:r>
    </w:p>
    <w:p w:rsidR="00000000" w:rsidRPr="00E833C3" w:rsidP="00E833C3">
      <w:pPr>
        <w:pStyle w:val="ListBullet2"/>
      </w:pPr>
      <w:r w:rsidRPr="00E833C3">
        <w:t>pe</w:t>
      </w:r>
      <w:r w:rsidRPr="00E833C3">
        <w:t>rforming inrush planning mathematical calculations</w:t>
      </w:r>
    </w:p>
    <w:p w:rsidR="00000000" w:rsidRPr="00E833C3" w:rsidP="00E833C3">
      <w:pPr>
        <w:pStyle w:val="ListBullet2"/>
      </w:pPr>
      <w:r w:rsidRPr="00E833C3">
        <w:t>interpreting and applying mathematical and scientific theorems/laws related to inrush</w:t>
      </w:r>
    </w:p>
    <w:p w:rsidR="00000000" w:rsidRPr="00E833C3" w:rsidP="00E833C3">
      <w:pPr>
        <w:pStyle w:val="ListBullet2"/>
      </w:pPr>
      <w:r w:rsidRPr="00E833C3">
        <w:t>accessing and applying design criteria for inrush management systems</w:t>
      </w:r>
    </w:p>
    <w:p w:rsidR="00000000" w:rsidRPr="00E833C3" w:rsidP="00E833C3">
      <w:pPr>
        <w:pStyle w:val="ListBullet2"/>
      </w:pPr>
      <w:r w:rsidRPr="00E833C3">
        <w:t>interpreting computer spreadsheets and inrush modelling/simulations</w:t>
      </w:r>
    </w:p>
    <w:p w:rsidR="00000000" w:rsidRPr="00E833C3" w:rsidP="00E833C3">
      <w:pPr>
        <w:pStyle w:val="ListBullet2"/>
      </w:pPr>
      <w:r w:rsidRPr="00E833C3">
        <w:t>accessing and analysing archival and historical water storage and inrush information related to the mine</w:t>
      </w:r>
    </w:p>
    <w:p w:rsidR="00000000" w:rsidRPr="00E833C3" w:rsidP="00E833C3">
      <w:pPr>
        <w:pStyle w:val="ListBullet"/>
      </w:pPr>
      <w:r w:rsidRPr="00E833C3">
        <w:t xml:space="preserve">work effectively with others to establish and maintain inrush management systems, </w:t>
      </w:r>
      <w:r w:rsidRPr="00E833C3">
        <w:t>including:</w:t>
      </w:r>
    </w:p>
    <w:p w:rsidR="00000000" w:rsidRPr="00E833C3" w:rsidP="00E833C3">
      <w:pPr>
        <w:pStyle w:val="ListBullet2"/>
      </w:pPr>
      <w:r w:rsidRPr="00E833C3">
        <w:t>communicating clearly and concisely with others to receive and clarify work instructions, and convey work progress</w:t>
      </w:r>
    </w:p>
    <w:p w:rsidR="00000000" w:rsidRPr="00E833C3" w:rsidP="00E833C3">
      <w:pPr>
        <w:pStyle w:val="ListBullet2"/>
      </w:pPr>
      <w:r w:rsidRPr="00E833C3">
        <w:t>identifying the relevant information and scope of the work necessary to meet required outcomes</w:t>
      </w:r>
    </w:p>
    <w:p w:rsidR="00000000" w:rsidRPr="00E833C3" w:rsidP="00E833C3">
      <w:pPr>
        <w:pStyle w:val="ListBullet2"/>
      </w:pPr>
      <w:r w:rsidRPr="00E833C3">
        <w:t xml:space="preserve">developing procedures appropriate </w:t>
      </w:r>
      <w:r w:rsidRPr="00E833C3">
        <w:t>to mine operations for prevention of inrush.</w:t>
      </w:r>
    </w:p>
    <w:p w:rsidR="00000000" w:rsidRPr="00E833C3" w:rsidP="00E833C3">
      <w:pPr>
        <w:pStyle w:val="AllowPageBreak"/>
      </w:pPr>
    </w:p>
    <w:p w:rsidR="00000000" w:rsidRPr="00E833C3" w:rsidP="00E833C3">
      <w:pPr>
        <w:pStyle w:val="Heading1"/>
      </w:pPr>
      <w:bookmarkStart w:id="10" w:name="O_1108634"/>
      <w:bookmarkEnd w:id="10"/>
      <w:r w:rsidRPr="00E833C3">
        <w:t>Knowledge Evidence</w:t>
      </w:r>
    </w:p>
    <w:p w:rsidR="00000000" w:rsidRPr="00E833C3" w:rsidP="004D1CD2">
      <w:pPr>
        <w:pStyle w:val="BodyText"/>
      </w:pPr>
      <w:r w:rsidRPr="00E833C3">
        <w:t>The candidate must be able to demonstrate knowledge to complete the tasks outlined in the elements, performance criteria and foundation skills of this unit, including knowle</w:t>
      </w:r>
      <w:r w:rsidRPr="00E833C3">
        <w:t>dge of:</w:t>
      </w:r>
    </w:p>
    <w:p w:rsidR="00000000" w:rsidRPr="00E833C3" w:rsidP="00E833C3">
      <w:pPr>
        <w:pStyle w:val="ListBullet"/>
      </w:pPr>
      <w:r w:rsidRPr="00E833C3">
        <w:t>key legislation required to establish and maintain inrush management systems</w:t>
      </w:r>
    </w:p>
    <w:p w:rsidR="00000000" w:rsidRPr="00E833C3" w:rsidP="00E833C3">
      <w:pPr>
        <w:pStyle w:val="ListBullet"/>
      </w:pPr>
      <w:r w:rsidRPr="00E833C3">
        <w:t>key procedures and documentation required to establish and maintain inrush management systems</w:t>
      </w:r>
    </w:p>
    <w:p w:rsidR="00000000" w:rsidRPr="00E833C3" w:rsidP="00E833C3">
      <w:pPr>
        <w:pStyle w:val="ListBullet"/>
      </w:pPr>
      <w:r w:rsidRPr="00E833C3">
        <w:t>inrush ma</w:t>
      </w:r>
      <w:r w:rsidRPr="00E833C3">
        <w:t>nagement systems principles and components, including techniques for:</w:t>
      </w:r>
    </w:p>
    <w:p w:rsidR="00000000" w:rsidRPr="00E833C3" w:rsidP="00E833C3">
      <w:pPr>
        <w:pStyle w:val="ListBullet2"/>
      </w:pPr>
      <w:r w:rsidRPr="00E833C3">
        <w:t xml:space="preserve">identifying and evaluating systems of work </w:t>
      </w:r>
    </w:p>
    <w:p w:rsidR="00000000" w:rsidRPr="00E833C3" w:rsidP="00E833C3">
      <w:pPr>
        <w:pStyle w:val="ListBullet2"/>
      </w:pPr>
      <w:r w:rsidRPr="00E833C3">
        <w:t>identifying and assessing factors affecting stability of mining structures</w:t>
      </w:r>
    </w:p>
    <w:p w:rsidR="00000000" w:rsidRPr="00E833C3" w:rsidP="00E833C3">
      <w:pPr>
        <w:pStyle w:val="ListBullet2"/>
      </w:pPr>
      <w:r w:rsidRPr="00E833C3">
        <w:t>analysing and evaluating mine site historical information</w:t>
      </w:r>
    </w:p>
    <w:p w:rsidR="00000000" w:rsidRPr="00E833C3" w:rsidP="00E833C3">
      <w:pPr>
        <w:pStyle w:val="ListBullet2"/>
      </w:pPr>
      <w:r w:rsidRPr="00E833C3">
        <w:t>mine map</w:t>
      </w:r>
      <w:r w:rsidRPr="00E833C3">
        <w:t>ping of inrush zones, related geology and features</w:t>
      </w:r>
    </w:p>
    <w:p w:rsidR="00000000" w:rsidRPr="00E833C3" w:rsidP="00E833C3">
      <w:pPr>
        <w:pStyle w:val="ListBullet2"/>
      </w:pPr>
      <w:r w:rsidRPr="00E833C3">
        <w:t>identifying and evaluating the impact of differing geological features and conditions on inrush zones</w:t>
      </w:r>
    </w:p>
    <w:p w:rsidR="00000000" w:rsidRPr="00E833C3" w:rsidP="00E833C3">
      <w:pPr>
        <w:pStyle w:val="ListBullet2"/>
      </w:pPr>
      <w:r w:rsidRPr="00E833C3">
        <w:t>interpreting and applying mathematical and scientific theorems, laws and calculations relating to inrus</w:t>
      </w:r>
      <w:r w:rsidRPr="00E833C3">
        <w:t xml:space="preserve">h </w:t>
      </w:r>
    </w:p>
    <w:p w:rsidR="00000000" w:rsidRPr="00E833C3" w:rsidP="00E833C3">
      <w:pPr>
        <w:pStyle w:val="ListBullet2"/>
      </w:pPr>
      <w:r w:rsidRPr="00E833C3">
        <w:t>establishing personnel safety measures</w:t>
      </w:r>
    </w:p>
    <w:p w:rsidR="00000000" w:rsidRPr="00E833C3" w:rsidP="00E833C3">
      <w:pPr>
        <w:pStyle w:val="ListBullet2"/>
      </w:pPr>
      <w:r w:rsidRPr="00E833C3">
        <w:t>identifying and evaluating use of monitoring systems and techniques</w:t>
      </w:r>
    </w:p>
    <w:p w:rsidR="00000000" w:rsidRPr="00E833C3" w:rsidP="00E833C3">
      <w:pPr>
        <w:pStyle w:val="ListBullet2"/>
      </w:pPr>
      <w:r w:rsidRPr="00E833C3">
        <w:t>audit and review</w:t>
      </w:r>
    </w:p>
    <w:p w:rsidR="00000000" w:rsidRPr="00E833C3" w:rsidP="00E833C3">
      <w:pPr>
        <w:pStyle w:val="ListBullet"/>
      </w:pPr>
      <w:r w:rsidRPr="00E833C3">
        <w:t xml:space="preserve">principles, processes and techniques for emergency response, evacuation and disaster planning </w:t>
      </w:r>
    </w:p>
    <w:p w:rsidR="00000000" w:rsidRPr="00E833C3" w:rsidP="00E833C3">
      <w:pPr>
        <w:pStyle w:val="ListBullet"/>
      </w:pPr>
      <w:r w:rsidRPr="00E833C3">
        <w:t>techniques for leading and coordi</w:t>
      </w:r>
      <w:r w:rsidRPr="00E833C3">
        <w:t>nating work activities with others.</w:t>
      </w:r>
    </w:p>
    <w:p w:rsidR="00000000" w:rsidRPr="00E833C3" w:rsidP="00E833C3">
      <w:pPr>
        <w:pStyle w:val="AllowPageBreak"/>
      </w:pPr>
    </w:p>
    <w:p w:rsidR="00000000" w:rsidRPr="00E833C3" w:rsidP="00E833C3">
      <w:pPr>
        <w:pStyle w:val="Heading1"/>
      </w:pPr>
      <w:bookmarkStart w:id="11" w:name="O_1108633"/>
      <w:bookmarkEnd w:id="11"/>
      <w:r w:rsidRPr="00E833C3">
        <w:t>Assessment Conditions</w:t>
      </w:r>
    </w:p>
    <w:p w:rsidR="00000000" w:rsidRPr="00E833C3" w:rsidP="004D1CD2">
      <w:pPr>
        <w:pStyle w:val="BodyText"/>
      </w:pPr>
      <w:r w:rsidRPr="00E833C3">
        <w:t>Mandatory conditions for assessment of this unit are stipulated below. The assessment must:</w:t>
      </w:r>
    </w:p>
    <w:p w:rsidR="00000000" w:rsidRPr="00E833C3" w:rsidP="00E833C3">
      <w:pPr>
        <w:pStyle w:val="ListBullet"/>
      </w:pPr>
      <w:r w:rsidRPr="00E833C3">
        <w:t>include access to:</w:t>
      </w:r>
    </w:p>
    <w:p w:rsidR="00000000" w:rsidRPr="00E833C3" w:rsidP="00E833C3">
      <w:pPr>
        <w:pStyle w:val="ListBullet2"/>
      </w:pPr>
      <w:r w:rsidRPr="00E833C3">
        <w:t>inrush management plan</w:t>
      </w:r>
    </w:p>
    <w:p w:rsidR="00000000" w:rsidRPr="00E833C3" w:rsidP="00E833C3">
      <w:pPr>
        <w:pStyle w:val="ListBullet"/>
      </w:pPr>
      <w:r w:rsidRPr="00E833C3">
        <w:t xml:space="preserve">be conducted in a safe environment; and, </w:t>
      </w:r>
    </w:p>
    <w:p w:rsidR="00000000" w:rsidRPr="00E833C3" w:rsidP="00E833C3">
      <w:pPr>
        <w:pStyle w:val="ListBullet"/>
      </w:pPr>
      <w:r w:rsidRPr="00E833C3">
        <w:t>be assessed in the context of this sector</w:t>
      </w:r>
      <w:r>
        <w:t>’</w:t>
      </w:r>
      <w:r w:rsidRPr="00E833C3">
        <w:t xml:space="preserve">s work environment; and, </w:t>
      </w:r>
    </w:p>
    <w:p w:rsidR="00000000" w:rsidRPr="00E833C3" w:rsidP="00E833C3">
      <w:pPr>
        <w:pStyle w:val="ListBullet"/>
      </w:pPr>
      <w:r w:rsidRPr="00E833C3">
        <w:t>be assessed in compliance with relevant legislation/regulation and using policies, procedures and processes directly related to the industry sector for which it is being assessed; and,</w:t>
      </w:r>
    </w:p>
    <w:p w:rsidR="00000000" w:rsidRPr="00E833C3" w:rsidP="00E833C3">
      <w:pPr>
        <w:pStyle w:val="ListBullet"/>
      </w:pPr>
      <w:r w:rsidRPr="00E833C3">
        <w:t>con</w:t>
      </w:r>
      <w:r w:rsidRPr="00E833C3">
        <w:t>firm consistent performance can be applied in a range of relevant workplace circumstances.</w:t>
      </w:r>
    </w:p>
    <w:p w:rsidR="00000000" w:rsidRPr="00E833C3" w:rsidP="004D1CD2">
      <w:pPr>
        <w:pStyle w:val="BodyText"/>
      </w:pPr>
      <w:r w:rsidRPr="00E833C3">
        <w:t>Where personal safety or environmental damage are limiting factors, assessment may occur in a simulated work environment* provided it is realistic and sufficiently r</w:t>
      </w:r>
      <w:r w:rsidRPr="00E833C3">
        <w:t>igorous to cover all aspects of this sector’s workplace performance, including environment, task skills, task management skills, contingency management skills and job role environment skills.</w:t>
      </w:r>
    </w:p>
    <w:p w:rsidR="00000000" w:rsidRPr="00E833C3" w:rsidP="00E833C3">
      <w:pPr>
        <w:pStyle w:val="BodyTextBold"/>
      </w:pPr>
      <w:r w:rsidRPr="00E833C3">
        <w:t>Assessor requirements</w:t>
      </w:r>
    </w:p>
    <w:p w:rsidR="00000000" w:rsidRPr="00E833C3" w:rsidP="004D1CD2">
      <w:pPr>
        <w:pStyle w:val="BodyText"/>
      </w:pPr>
      <w:r w:rsidRPr="00E833C3">
        <w:t>Assessors must be able to clearly demonstr</w:t>
      </w:r>
      <w:r w:rsidRPr="00E833C3">
        <w:t>ate current and relevant industry knowledge and experience to satisfy the mandatory regulatory standards as set out in the Standards for Registered Training Organisations (RTOs) 2015/Australian Quality Training Framework mandatory requirements for assessor</w:t>
      </w:r>
      <w:r w:rsidRPr="00E833C3">
        <w:t>s current at the time of assessment and any relevant licensing and certification requirements. This includes:</w:t>
      </w:r>
    </w:p>
    <w:p w:rsidR="00000000" w:rsidRPr="00E833C3" w:rsidP="00E833C3">
      <w:pPr>
        <w:pStyle w:val="ListBullet"/>
      </w:pPr>
      <w:r w:rsidRPr="00E833C3">
        <w:t>vocational competencies at least to the level being delivered and assessed</w:t>
      </w:r>
    </w:p>
    <w:p w:rsidR="00000000" w:rsidRPr="00E833C3" w:rsidP="00E833C3">
      <w:pPr>
        <w:pStyle w:val="ListBullet"/>
      </w:pPr>
      <w:r w:rsidRPr="00E833C3">
        <w:t>current industry skills directly relevant to the training and assessment being provided</w:t>
      </w:r>
    </w:p>
    <w:p w:rsidR="00000000" w:rsidRPr="00E833C3" w:rsidP="00E833C3">
      <w:pPr>
        <w:pStyle w:val="ListBullet"/>
      </w:pPr>
      <w:r w:rsidRPr="00E833C3">
        <w:t>current knowledge and skills in vocational training and learning that informs their training and assessment</w:t>
      </w:r>
    </w:p>
    <w:p w:rsidR="00000000" w:rsidRPr="00E833C3" w:rsidP="00E833C3">
      <w:pPr>
        <w:pStyle w:val="ListBullet"/>
      </w:pPr>
      <w:r w:rsidRPr="00E833C3">
        <w:t>formal relevant qualifications in training and assessment</w:t>
      </w:r>
    </w:p>
    <w:p w:rsidR="00000000" w:rsidRPr="00E833C3" w:rsidP="00E833C3">
      <w:pPr>
        <w:pStyle w:val="ListBullet"/>
      </w:pPr>
      <w:r w:rsidRPr="00E833C3">
        <w:t>ha</w:t>
      </w:r>
      <w:r w:rsidRPr="00E833C3">
        <w:t xml:space="preserve">ving knowledge of and/or experience using the latest techniques and processes </w:t>
      </w:r>
    </w:p>
    <w:p w:rsidR="00000000" w:rsidRPr="00E833C3" w:rsidP="00E833C3">
      <w:pPr>
        <w:pStyle w:val="ListBullet"/>
      </w:pPr>
      <w:r w:rsidRPr="00E833C3">
        <w:t>possessing the required level of RII training product knowledge</w:t>
      </w:r>
    </w:p>
    <w:p w:rsidR="00000000" w:rsidRPr="00E833C3" w:rsidP="00E833C3">
      <w:pPr>
        <w:pStyle w:val="ListBullet"/>
      </w:pPr>
      <w:r w:rsidRPr="00E833C3">
        <w:t>having an understanding and knowledge of legislation and regulations relevant to the industry and to employment a</w:t>
      </w:r>
      <w:r w:rsidRPr="00E833C3">
        <w:t>nd workplaces</w:t>
      </w:r>
    </w:p>
    <w:p w:rsidR="00000000" w:rsidRPr="00E833C3" w:rsidP="00E833C3">
      <w:pPr>
        <w:pStyle w:val="ListBullet"/>
      </w:pPr>
      <w:r w:rsidRPr="00E833C3">
        <w:t>demonstrating the performance evidence, and knowledge evidence outlined in this unit of competency, and</w:t>
      </w:r>
    </w:p>
    <w:p w:rsidR="00000000" w:rsidRPr="00E833C3" w:rsidP="00E833C3">
      <w:pPr>
        <w:pStyle w:val="ListBullet"/>
      </w:pPr>
      <w:r w:rsidRPr="00E833C3">
        <w:t>the minimum years of current** work experience after competency has been obtained as specified below in an industry sector relevant to the</w:t>
      </w:r>
      <w:r w:rsidRPr="00E833C3">
        <w:t xml:space="preserve"> outcomes of the unit.</w:t>
      </w:r>
    </w:p>
    <w:p w:rsidR="00000000" w:rsidRPr="00E833C3" w:rsidP="004D1CD2">
      <w:pPr>
        <w:pStyle w:val="BodyText"/>
      </w:pPr>
      <w:r w:rsidRPr="00E833C3">
        <w:t>It is also acceptable for the appropriately qualified assessor to work with an industry expert to conduct assessment together and for the industry expert to be involved in the assessment judgement. The industry expert must have curre</w:t>
      </w:r>
      <w:r w:rsidRPr="00E833C3">
        <w:t xml:space="preserve">nt industry skills directly relevant to the training and assessment being provided. This </w:t>
      </w:r>
      <w:r w:rsidRPr="00E833C3">
        <w:t xml:space="preserve">means the industry subject matter expert must demonstrate skills and knowledge from the minimum years of current work experience after competency has been obtained as </w:t>
      </w:r>
      <w:r w:rsidRPr="00E833C3">
        <w:t>specified below, including time spent in roles related to the unit being assessed:</w:t>
      </w:r>
    </w:p>
    <w:tbl>
      <w:tblPr>
        <w:tblW w:w="0" w:type="auto"/>
        <w:tblCellMar>
          <w:left w:w="62" w:type="dxa"/>
          <w:right w:w="62" w:type="dxa"/>
        </w:tblCellMar>
        <w:tblLook w:val="0000"/>
      </w:tblPr>
      <w:tblGrid>
        <w:gridCol w:w="4330"/>
        <w:gridCol w:w="1622"/>
        <w:gridCol w:w="3244"/>
      </w:tblGrid>
      <w:tr w:rsidTr="004D1CD2">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E833C3" w:rsidP="00E833C3">
            <w:pPr>
              <w:pStyle w:val="BodyText"/>
            </w:pPr>
            <w:r w:rsidRPr="00E833C3">
              <w:rPr>
                <w:rStyle w:val="SpecialBold"/>
              </w:rPr>
              <w:t>Industry sector</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E833C3" w:rsidP="00E833C3">
            <w:pPr>
              <w:pStyle w:val="BodyText"/>
            </w:pPr>
            <w:r w:rsidRPr="00E833C3">
              <w:rPr>
                <w:rStyle w:val="SpecialBold"/>
              </w:rPr>
              <w:t>AQF indicator level***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833C3">
            <w:pPr>
              <w:pStyle w:val="BodyText"/>
              <w:rPr>
                <w:lang w:val="en-NZ"/>
              </w:rPr>
            </w:pPr>
            <w:r w:rsidRPr="00E833C3">
              <w:rPr>
                <w:rStyle w:val="SpecialBold"/>
              </w:rPr>
              <w:t>Required assessor or industry subject matter expert experience</w:t>
            </w:r>
          </w:p>
        </w:tc>
      </w:tr>
      <w:tr w:rsidTr="004D1CD2">
        <w:tblPrEx>
          <w:tblW w:w="0" w:type="auto"/>
          <w:tblCellMar>
            <w:left w:w="62" w:type="dxa"/>
            <w:right w:w="62" w:type="dxa"/>
          </w:tblCellMar>
          <w:tblLook w:val="0000"/>
        </w:tblPrEx>
        <w:tc>
          <w:tcPr>
            <w:tcW w:w="0" w:type="auto"/>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833C3">
            <w:pPr>
              <w:pStyle w:val="BodyText"/>
              <w:rPr>
                <w:lang w:val="en-NZ"/>
              </w:rPr>
            </w:pPr>
            <w:r w:rsidRPr="00E833C3">
              <w:t>Drilling, Metalliferous Mining, Coal Mining, Extractive (Quarrying) and Civil Infrastructure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833C3">
            <w:pPr>
              <w:pStyle w:val="BodyText"/>
              <w:rPr>
                <w:lang w:val="en-NZ"/>
              </w:rPr>
            </w:pPr>
            <w:r w:rsidRPr="00E833C3">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833C3">
            <w:pPr>
              <w:pStyle w:val="BodyText"/>
              <w:rPr>
                <w:lang w:val="en-NZ"/>
              </w:rPr>
            </w:pPr>
            <w:r w:rsidRPr="00E833C3">
              <w:t>1 year</w:t>
            </w:r>
          </w:p>
        </w:tc>
      </w:tr>
      <w:tr w:rsidTr="004D1CD2">
        <w:tblPrEx>
          <w:tblW w:w="0" w:type="auto"/>
          <w:tblCellMar>
            <w:left w:w="62" w:type="dxa"/>
            <w:right w:w="62" w:type="dxa"/>
          </w:tblCellMar>
          <w:tblLook w:val="0000"/>
        </w:tblPrEx>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833C3">
            <w:pPr>
              <w:pStyle w:val="BodyText"/>
              <w:rPr>
                <w:lang w:val="en-NZ"/>
              </w:rPr>
            </w:pPr>
            <w:r w:rsidRPr="00E833C3">
              <w:t>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833C3">
            <w:pPr>
              <w:pStyle w:val="BodyText"/>
              <w:rPr>
                <w:lang w:val="en-NZ"/>
              </w:rPr>
            </w:pPr>
            <w:r w:rsidRPr="00E833C3">
              <w:t>2 years</w:t>
            </w:r>
          </w:p>
        </w:tc>
      </w:tr>
      <w:tr w:rsidTr="004D1CD2">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833C3">
            <w:pPr>
              <w:pStyle w:val="BodyText"/>
              <w:rPr>
                <w:lang w:val="en-NZ"/>
              </w:rPr>
            </w:pPr>
            <w:r w:rsidRPr="00E833C3">
              <w:t xml:space="preserve">Drilling, Coal Mining, Extractive (Quarrying), Metalliferous Mining and Civil Infrastructure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833C3">
            <w:pPr>
              <w:pStyle w:val="BodyText"/>
              <w:rPr>
                <w:lang w:val="en-NZ"/>
              </w:rPr>
            </w:pPr>
            <w:r w:rsidRPr="00E833C3">
              <w:t>3-6</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833C3">
            <w:pPr>
              <w:pStyle w:val="BodyText"/>
              <w:rPr>
                <w:lang w:val="en-NZ"/>
              </w:rPr>
            </w:pPr>
            <w:r w:rsidRPr="00E833C3">
              <w:t>3 years</w:t>
            </w:r>
          </w:p>
        </w:tc>
      </w:tr>
      <w:tr w:rsidTr="004D1CD2">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833C3">
            <w:pPr>
              <w:pStyle w:val="BodyText"/>
              <w:rPr>
                <w:lang w:val="en-NZ"/>
              </w:rPr>
            </w:pPr>
            <w:r w:rsidRPr="00E833C3">
              <w:t>Other sectors</w:t>
            </w:r>
          </w:p>
        </w:tc>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E833C3" w:rsidP="00E833C3">
            <w:pPr>
              <w:pStyle w:val="BodyText"/>
            </w:pPr>
            <w:r w:rsidRPr="00E833C3">
              <w:t>Where this unit is being assessed outside of the resources and infrastructure sectors assessor and/or industry subject matter expert experience should be in-line with industry standards for the sector in which it is being assessed and where no industry sta</w:t>
            </w:r>
            <w:r w:rsidRPr="00E833C3">
              <w:t>ndard is specified should comply with any relevant regulation.</w:t>
            </w:r>
          </w:p>
        </w:tc>
      </w:tr>
    </w:tbl>
    <w:p w:rsidR="00000000" w:rsidRPr="00E833C3" w:rsidP="004D1CD2">
      <w:pPr>
        <w:pStyle w:val="BodyText"/>
      </w:pPr>
      <w:r w:rsidRPr="00E833C3">
        <w:t>*Guidance on simulated environments has been stipulated in the Companion Volume Implementation Guide located on VETNet.</w:t>
      </w:r>
    </w:p>
    <w:p w:rsidR="00000000" w:rsidRPr="00E833C3" w:rsidP="004D1CD2">
      <w:pPr>
        <w:pStyle w:val="BodyText"/>
      </w:pPr>
      <w:r w:rsidRPr="00E833C3">
        <w:t xml:space="preserve">**Assessors can demonstrate current work experience through employment </w:t>
      </w:r>
      <w:r w:rsidRPr="00E833C3">
        <w:t>within industry in a role relevant to the outcomes of the unit; or, for external assessors this can be demonstrated through exposure to industry by conducting a minimum number of site assessments as determined by the relevant industry sector, across variou</w:t>
      </w:r>
      <w:r w:rsidRPr="00E833C3">
        <w:t>s locations.</w:t>
      </w:r>
    </w:p>
    <w:p w:rsidR="00000000" w:rsidRPr="00E833C3" w:rsidP="004D1CD2">
      <w:pPr>
        <w:pStyle w:val="BodyText"/>
      </w:pPr>
      <w:r w:rsidRPr="00E833C3">
        <w:t>*** While a unit of competency does not have an AQF level, where a unit is being delivered outside of a qualification the first numeric character in the unit code should be considered as the AQF indicator level for assessment purposes.</w:t>
      </w:r>
    </w:p>
    <w:p w:rsidR="00000000" w:rsidRPr="00E833C3" w:rsidP="00E833C3">
      <w:pPr>
        <w:pStyle w:val="Heading1"/>
      </w:pPr>
      <w:bookmarkStart w:id="12" w:name="O_1108631"/>
      <w:bookmarkEnd w:id="12"/>
      <w:r w:rsidRPr="00E833C3">
        <w:t>Links</w:t>
      </w:r>
    </w:p>
    <w:p w:rsidR="00000000" w:rsidRPr="00E833C3" w:rsidP="004D1CD2">
      <w:pPr>
        <w:pStyle w:val="BodyText"/>
      </w:pPr>
      <w:r w:rsidRPr="00E833C3">
        <w:t xml:space="preserve">Companion Volume Implementation Guide is found on VETNet - </w:t>
      </w:r>
      <w:r>
        <w:fldChar w:fldCharType="begin"/>
      </w:r>
      <w:r>
        <w:instrText xml:space="preserve"> HYPERLINK "https://vetnet.gov.au/Pages/TrainingDocs.aspx?q=88a61002-9a21-4386-aaf8-69c76e675272" </w:instrText>
      </w:r>
      <w:r>
        <w:fldChar w:fldCharType="separate"/>
      </w:r>
      <w:r w:rsidRPr="00AE27FE">
        <w:rPr>
          <w:rStyle w:val="Hyperlink"/>
        </w:rPr>
        <w:t>https://vetnet.gov.au/Pages/TrainingDocs.aspx?q=88a61002-9a21-4386-aaf8-69c76e675272</w:t>
      </w:r>
      <w:r>
        <w:fldChar w:fldCharType="end"/>
      </w:r>
    </w:p>
    <w:p w:rsidR="00000000" w:rsidRPr="00E833C3" w:rsidP="00E833C3"/>
    <w:sectPr w:rsidSect="00E833C3">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1CD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1CD2">
    <w:pPr>
      <w:pStyle w:val="Footer"/>
      <w:framePr w:wrap="around"/>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1CD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1CD2" w:rsidP="00E833C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4D1CD2" w:rsidP="00E833C3">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4D1CD2" w:rsidP="00E833C3">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33C3" w:rsidP="00E833C3">
    <w:pPr>
      <w:pStyle w:val="Footer"/>
      <w:framePr w:wrap="around"/>
    </w:pPr>
    <w:r>
      <w:fldChar w:fldCharType="begin"/>
    </w:r>
    <w:r>
      <w:instrText xml:space="preserve"> DOCPROPERTY  Subject  \* MERGEFORMAT </w:instrText>
    </w:r>
    <w:r>
      <w:fldChar w:fldCharType="separate"/>
    </w:r>
    <w:r w:rsidR="004D1CD2">
      <w:t>Approved</w:t>
    </w:r>
    <w:r w:rsidR="004D1CD2">
      <w:fldChar w:fldCharType="end"/>
    </w:r>
    <w:r>
      <w:tab/>
      <w:t xml:space="preserve">Page </w:t>
    </w:r>
    <w:r>
      <w:fldChar w:fldCharType="begin"/>
    </w:r>
    <w:r>
      <w:instrText xml:space="preserve"> PAGE  \* Arabic  \* MERGEFORMAT </w:instrText>
    </w:r>
    <w:r>
      <w:fldChar w:fldCharType="separate"/>
    </w:r>
    <w:r w:rsidR="004D1CD2">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4D1CD2">
      <w:rPr>
        <w:noProof/>
      </w:rPr>
      <w:t>6</w:t>
    </w:r>
    <w:r>
      <w:rPr>
        <w:noProof/>
      </w:rPr>
      <w:fldChar w:fldCharType="end"/>
    </w:r>
  </w:p>
  <w:p w:rsidR="00E833C3" w:rsidP="00E833C3">
    <w:pPr>
      <w:pStyle w:val="Footer"/>
      <w:framePr w:wrap="around"/>
    </w:pPr>
    <w:r>
      <w:t xml:space="preserve">© Commonwealth of Australia, </w:t>
    </w:r>
    <w:r>
      <w:fldChar w:fldCharType="begin"/>
    </w:r>
    <w:r>
      <w:instrText xml:space="preserve"> DATE  \@ "yyyy"  \* MERGEFORMAT </w:instrText>
    </w:r>
    <w:r>
      <w:fldChar w:fldCharType="separate"/>
    </w:r>
    <w:r w:rsidR="004D1CD2">
      <w:rPr>
        <w:noProof/>
      </w:rPr>
      <w:t>2025</w:t>
    </w:r>
    <w:r>
      <w:fldChar w:fldCharType="end"/>
    </w:r>
    <w:r>
      <w:tab/>
    </w:r>
    <w:r>
      <w:fldChar w:fldCharType="begin"/>
    </w:r>
    <w:r>
      <w:instrText xml:space="preserve"> DOCPROPERTY  Author  \* MERGEFORMAT </w:instrText>
    </w:r>
    <w:r>
      <w:fldChar w:fldCharType="separate"/>
    </w:r>
    <w:r w:rsidR="004D1CD2">
      <w:t>Mining and Automotive Skills Alliance</w:t>
    </w:r>
    <w:r w:rsidR="004D1CD2">
      <w:fldChar w:fldCharType="end"/>
    </w:r>
  </w:p>
  <w:p w:rsidR="00E833C3" w:rsidP="00E833C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1CD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1CD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833C3" w:rsidRPr="004D1CD2" w:rsidP="004D1CD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1CD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1CD2" w:rsidRPr="002D2AF8" w:rsidP="00E833C3">
    <w:pPr>
      <w:pStyle w:val="Header"/>
      <w:framePr w:wrap="around"/>
    </w:pPr>
    <w:r>
      <w:fldChar w:fldCharType="begin"/>
    </w:r>
    <w:r>
      <w:instrText xml:space="preserve"> TITLE   \* MERGEFORMAT </w:instrText>
    </w:r>
    <w:r>
      <w:fldChar w:fldCharType="separate"/>
    </w:r>
    <w:r>
      <w:t>RIIMCU605E Establish and maintain inrush management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4D1CD2" w:rsidP="00E833C3">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33C3" w:rsidRPr="002D2AF8" w:rsidP="00E833C3">
    <w:pPr>
      <w:pStyle w:val="Header"/>
      <w:framePr w:wrap="around"/>
    </w:pPr>
    <w:r>
      <w:fldChar w:fldCharType="begin"/>
    </w:r>
    <w:r>
      <w:instrText xml:space="preserve"> TITLE   \* MERGEFORMAT </w:instrText>
    </w:r>
    <w:r>
      <w:fldChar w:fldCharType="separate"/>
    </w:r>
    <w:r w:rsidR="004D1CD2">
      <w:t>RIIMCU605E Establish and maintain inrush management systems</w:t>
    </w:r>
    <w:r w:rsidR="004D1CD2">
      <w:fldChar w:fldCharType="end"/>
    </w:r>
    <w:r>
      <w:tab/>
      <w:t xml:space="preserve">Date this document was generated: </w:t>
    </w:r>
    <w:r>
      <w:fldChar w:fldCharType="begin"/>
    </w:r>
    <w:r>
      <w:instrText xml:space="preserve"> CREATEDATE  \@ "d MMMM yyyy"  \* MERGEFORMAT </w:instrText>
    </w:r>
    <w:r>
      <w:fldChar w:fldCharType="separate"/>
    </w:r>
    <w:r w:rsidR="004D1CD2">
      <w:rPr>
        <w:noProof/>
      </w:rPr>
      <w:t>2 March 2025</w:t>
    </w:r>
    <w:r>
      <w:fldChar w:fldCharType="end"/>
    </w:r>
  </w:p>
  <w:p w:rsidR="00E833C3" w:rsidP="00E833C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D2CD88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0881EE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4AE008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833C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833C3"/>
    <w:pPr>
      <w:spacing w:before="360" w:after="60"/>
      <w:outlineLvl w:val="0"/>
    </w:pPr>
    <w:rPr>
      <w:sz w:val="32"/>
    </w:rPr>
  </w:style>
  <w:style w:type="paragraph" w:styleId="Heading2">
    <w:name w:val="heading 2"/>
    <w:basedOn w:val="HeadingBase"/>
    <w:next w:val="BodyText"/>
    <w:link w:val="Heading2Char"/>
    <w:qFormat/>
    <w:rsid w:val="00E833C3"/>
    <w:pPr>
      <w:keepLines/>
      <w:spacing w:before="240" w:after="120"/>
      <w:outlineLvl w:val="1"/>
    </w:pPr>
    <w:rPr>
      <w:sz w:val="28"/>
      <w:szCs w:val="40"/>
    </w:rPr>
  </w:style>
  <w:style w:type="paragraph" w:styleId="Heading3">
    <w:name w:val="heading 3"/>
    <w:basedOn w:val="HeadingBase"/>
    <w:next w:val="BodyText"/>
    <w:link w:val="Heading3Char"/>
    <w:qFormat/>
    <w:rsid w:val="00E833C3"/>
    <w:pPr>
      <w:spacing w:before="180" w:after="120"/>
      <w:outlineLvl w:val="2"/>
    </w:pPr>
    <w:rPr>
      <w:spacing w:val="-10"/>
      <w:kern w:val="32"/>
    </w:rPr>
  </w:style>
  <w:style w:type="paragraph" w:styleId="Heading4">
    <w:name w:val="heading 4"/>
    <w:basedOn w:val="HeadingBase"/>
    <w:next w:val="BodyText"/>
    <w:link w:val="Heading4Char"/>
    <w:qFormat/>
    <w:rsid w:val="00E833C3"/>
    <w:pPr>
      <w:spacing w:before="160" w:after="120"/>
      <w:outlineLvl w:val="3"/>
    </w:pPr>
    <w:rPr>
      <w:sz w:val="22"/>
    </w:rPr>
  </w:style>
  <w:style w:type="paragraph" w:styleId="Heading5">
    <w:name w:val="heading 5"/>
    <w:basedOn w:val="HeadingBase"/>
    <w:next w:val="Normal"/>
    <w:link w:val="Heading5Char"/>
    <w:qFormat/>
    <w:rsid w:val="00E833C3"/>
    <w:pPr>
      <w:spacing w:before="80"/>
      <w:outlineLvl w:val="4"/>
    </w:pPr>
    <w:rPr>
      <w:color w:val="918585"/>
      <w:sz w:val="20"/>
    </w:rPr>
  </w:style>
  <w:style w:type="paragraph" w:styleId="Heading6">
    <w:name w:val="heading 6"/>
    <w:basedOn w:val="HeadingBase"/>
    <w:next w:val="Normal"/>
    <w:link w:val="Heading6Char"/>
    <w:qFormat/>
    <w:rsid w:val="00E833C3"/>
    <w:pPr>
      <w:spacing w:before="60"/>
      <w:outlineLvl w:val="5"/>
    </w:pPr>
    <w:rPr>
      <w:color w:val="918585"/>
      <w:sz w:val="20"/>
    </w:rPr>
  </w:style>
  <w:style w:type="paragraph" w:styleId="Heading7">
    <w:name w:val="heading 7"/>
    <w:basedOn w:val="Normal"/>
    <w:next w:val="Normal"/>
    <w:link w:val="Heading7Char"/>
    <w:qFormat/>
    <w:rsid w:val="00E833C3"/>
    <w:pPr>
      <w:ind w:left="720"/>
      <w:outlineLvl w:val="6"/>
    </w:pPr>
    <w:rPr>
      <w:i/>
    </w:rPr>
  </w:style>
  <w:style w:type="paragraph" w:styleId="Heading8">
    <w:name w:val="heading 8"/>
    <w:basedOn w:val="Normal"/>
    <w:next w:val="Normal"/>
    <w:link w:val="Heading8Char"/>
    <w:qFormat/>
    <w:rsid w:val="00E833C3"/>
    <w:pPr>
      <w:ind w:left="720"/>
      <w:outlineLvl w:val="7"/>
    </w:pPr>
    <w:rPr>
      <w:i/>
    </w:rPr>
  </w:style>
  <w:style w:type="paragraph" w:styleId="Heading9">
    <w:name w:val="heading 9"/>
    <w:basedOn w:val="Normal"/>
    <w:next w:val="Normal"/>
    <w:link w:val="Heading9Char"/>
    <w:qFormat/>
    <w:rsid w:val="00E833C3"/>
    <w:pPr>
      <w:ind w:left="720"/>
      <w:outlineLvl w:val="8"/>
    </w:pPr>
    <w:rPr>
      <w:i/>
    </w:rPr>
  </w:style>
  <w:style w:type="character" w:default="1" w:styleId="DefaultParagraphFont">
    <w:name w:val="Default Paragraph Font"/>
    <w:uiPriority w:val="1"/>
    <w:unhideWhenUsed/>
    <w:rsid w:val="00E833C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833C3"/>
  </w:style>
  <w:style w:type="character" w:customStyle="1" w:styleId="Heading1Char">
    <w:name w:val="Heading 1 Char"/>
    <w:basedOn w:val="DefaultParagraphFont"/>
    <w:link w:val="Heading1"/>
    <w:rsid w:val="00E833C3"/>
    <w:rPr>
      <w:rFonts w:ascii="Times New Roman" w:eastAsia="Times New Roman" w:hAnsi="Times New Roman" w:cs="Times New Roman"/>
      <w:b/>
      <w:sz w:val="32"/>
      <w:szCs w:val="20"/>
      <w:lang w:eastAsia="en-US"/>
    </w:rPr>
  </w:style>
  <w:style w:type="paragraph" w:styleId="BodyText">
    <w:name w:val="Body Text"/>
    <w:basedOn w:val="Normal"/>
    <w:link w:val="BodyTextChar"/>
    <w:rsid w:val="00E833C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833C3"/>
    <w:rPr>
      <w:rFonts w:ascii="Times New Roman" w:eastAsia="Times New Roman" w:hAnsi="Times New Roman" w:cs="Times New Roman"/>
      <w:sz w:val="24"/>
      <w:lang w:eastAsia="en-US"/>
    </w:rPr>
  </w:style>
  <w:style w:type="paragraph" w:styleId="List">
    <w:name w:val="List"/>
    <w:basedOn w:val="BodyText"/>
    <w:next w:val="BodyText"/>
    <w:rsid w:val="00E833C3"/>
    <w:pPr>
      <w:tabs>
        <w:tab w:val="left" w:pos="340"/>
      </w:tabs>
      <w:spacing w:before="60" w:after="60"/>
      <w:ind w:left="340" w:hanging="340"/>
    </w:pPr>
  </w:style>
  <w:style w:type="paragraph" w:styleId="ListBullet">
    <w:name w:val="List Bullet"/>
    <w:basedOn w:val="List"/>
    <w:rsid w:val="00E833C3"/>
    <w:pPr>
      <w:numPr>
        <w:numId w:val="12"/>
      </w:numPr>
      <w:tabs>
        <w:tab w:val="clear" w:pos="340"/>
      </w:tabs>
      <w:spacing w:before="40" w:after="40"/>
    </w:pPr>
  </w:style>
  <w:style w:type="character" w:customStyle="1" w:styleId="SpecialBold">
    <w:name w:val="Special Bold"/>
    <w:basedOn w:val="DefaultParagraphFont"/>
    <w:rsid w:val="00E833C3"/>
    <w:rPr>
      <w:b/>
      <w:spacing w:val="0"/>
    </w:rPr>
  </w:style>
  <w:style w:type="paragraph" w:styleId="ListBullet2">
    <w:name w:val="List Bullet 2"/>
    <w:basedOn w:val="List2"/>
    <w:rsid w:val="00E833C3"/>
    <w:pPr>
      <w:numPr>
        <w:numId w:val="13"/>
      </w:numPr>
      <w:tabs>
        <w:tab w:val="clear" w:pos="680"/>
      </w:tabs>
    </w:pPr>
  </w:style>
  <w:style w:type="character" w:styleId="Emphasis">
    <w:name w:val="Emphasis"/>
    <w:basedOn w:val="DefaultParagraphFont"/>
    <w:qFormat/>
    <w:rsid w:val="00E833C3"/>
    <w:rPr>
      <w:i/>
    </w:rPr>
  </w:style>
  <w:style w:type="paragraph" w:customStyle="1" w:styleId="SuperHeading">
    <w:name w:val="SuperHeading"/>
    <w:basedOn w:val="Normal"/>
    <w:rsid w:val="00E833C3"/>
    <w:pPr>
      <w:spacing w:before="240" w:after="120"/>
      <w:outlineLvl w:val="0"/>
    </w:pPr>
    <w:rPr>
      <w:rFonts w:ascii="Times New Roman" w:hAnsi="Times New Roman"/>
      <w:b/>
      <w:sz w:val="32"/>
    </w:rPr>
  </w:style>
  <w:style w:type="paragraph" w:customStyle="1" w:styleId="AllowPageBreak">
    <w:name w:val="AllowPageBreak"/>
    <w:rsid w:val="00E833C3"/>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E833C3"/>
    <w:rPr>
      <w:b/>
    </w:rPr>
  </w:style>
  <w:style w:type="character" w:customStyle="1" w:styleId="Heading2Char">
    <w:name w:val="Heading 2 Char"/>
    <w:basedOn w:val="DefaultParagraphFont"/>
    <w:link w:val="Heading2"/>
    <w:rsid w:val="00E833C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833C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833C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833C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833C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833C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833C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833C3"/>
    <w:rPr>
      <w:rFonts w:ascii="Courier New" w:eastAsia="Times New Roman" w:hAnsi="Courier New" w:cs="Times New Roman"/>
      <w:i/>
      <w:szCs w:val="20"/>
      <w:lang w:eastAsia="en-US"/>
    </w:rPr>
  </w:style>
  <w:style w:type="paragraph" w:customStyle="1" w:styleId="HeadingBase">
    <w:name w:val="Heading Base"/>
    <w:rsid w:val="00E833C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833C3"/>
    <w:pPr>
      <w:tabs>
        <w:tab w:val="right" w:leader="dot" w:pos="9072"/>
      </w:tabs>
      <w:ind w:left="567"/>
    </w:pPr>
    <w:rPr>
      <w:szCs w:val="22"/>
    </w:rPr>
  </w:style>
  <w:style w:type="paragraph" w:customStyle="1" w:styleId="TOCBase">
    <w:name w:val="TOC Base"/>
    <w:rsid w:val="00E833C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833C3"/>
    <w:pPr>
      <w:tabs>
        <w:tab w:val="right" w:leader="dot" w:pos="9072"/>
      </w:tabs>
      <w:spacing w:before="40" w:after="40"/>
      <w:ind w:left="284"/>
    </w:pPr>
    <w:rPr>
      <w:rFonts w:ascii="Times New Roman" w:hAnsi="Times New Roman"/>
    </w:rPr>
  </w:style>
  <w:style w:type="paragraph" w:styleId="TOC1">
    <w:name w:val="toc 1"/>
    <w:basedOn w:val="TOCBase"/>
    <w:next w:val="Normal"/>
    <w:rsid w:val="00E833C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833C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833C3"/>
    <w:rPr>
      <w:rFonts w:ascii="Times New Roman" w:eastAsia="Times New Roman" w:hAnsi="Times New Roman" w:cs="Times New Roman"/>
      <w:sz w:val="16"/>
      <w:lang w:eastAsia="en-US"/>
    </w:rPr>
  </w:style>
  <w:style w:type="paragraph" w:styleId="Title">
    <w:name w:val="Title"/>
    <w:basedOn w:val="HeadingBase"/>
    <w:link w:val="TitleChar"/>
    <w:qFormat/>
    <w:rsid w:val="00E833C3"/>
    <w:pPr>
      <w:spacing w:before="5040"/>
      <w:jc w:val="center"/>
    </w:pPr>
    <w:rPr>
      <w:sz w:val="48"/>
      <w:szCs w:val="72"/>
      <w:lang w:val="en-US"/>
    </w:rPr>
  </w:style>
  <w:style w:type="character" w:customStyle="1" w:styleId="TitleChar">
    <w:name w:val="Title Char"/>
    <w:basedOn w:val="DefaultParagraphFont"/>
    <w:link w:val="Title"/>
    <w:rsid w:val="00E833C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833C3"/>
    <w:pPr>
      <w:tabs>
        <w:tab w:val="left" w:pos="3600"/>
        <w:tab w:val="left" w:pos="3958"/>
      </w:tabs>
    </w:pPr>
  </w:style>
  <w:style w:type="paragraph" w:customStyle="1" w:styleId="Note">
    <w:name w:val="Note"/>
    <w:basedOn w:val="BodyText"/>
    <w:rsid w:val="00E833C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833C3"/>
    <w:pPr>
      <w:framePr w:wrap="auto" w:hAnchor="text" w:y="6049"/>
    </w:pPr>
    <w:rPr>
      <w:color w:val="000000"/>
      <w:sz w:val="40"/>
    </w:rPr>
  </w:style>
  <w:style w:type="paragraph" w:customStyle="1" w:styleId="TOCTitle">
    <w:name w:val="TOCTitle"/>
    <w:basedOn w:val="Heading1"/>
    <w:rsid w:val="00E833C3"/>
    <w:pPr>
      <w:spacing w:after="240"/>
      <w:jc w:val="center"/>
      <w:outlineLvl w:val="9"/>
    </w:pPr>
    <w:rPr>
      <w:caps/>
    </w:rPr>
  </w:style>
  <w:style w:type="paragraph" w:customStyle="1" w:styleId="Version">
    <w:name w:val="Version"/>
    <w:rsid w:val="00E833C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833C3"/>
    <w:pPr>
      <w:keepNext w:val="0"/>
      <w:tabs>
        <w:tab w:val="right" w:pos="4176"/>
      </w:tabs>
      <w:ind w:left="198" w:hanging="198"/>
    </w:pPr>
    <w:rPr>
      <w:rFonts w:ascii="Garamond" w:hAnsi="Garamond"/>
    </w:rPr>
  </w:style>
  <w:style w:type="paragraph" w:styleId="IndexHeading">
    <w:name w:val="index heading"/>
    <w:basedOn w:val="Normal"/>
    <w:next w:val="Index1"/>
    <w:semiHidden/>
    <w:rsid w:val="00E833C3"/>
    <w:pPr>
      <w:spacing w:before="120" w:after="120"/>
    </w:pPr>
    <w:rPr>
      <w:rFonts w:ascii="Arial" w:hAnsi="Arial"/>
      <w:b/>
      <w:color w:val="918585"/>
      <w:sz w:val="24"/>
    </w:rPr>
  </w:style>
  <w:style w:type="paragraph" w:styleId="Header">
    <w:name w:val="header"/>
    <w:basedOn w:val="Normal"/>
    <w:link w:val="HeaderChar"/>
    <w:rsid w:val="00E833C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833C3"/>
    <w:rPr>
      <w:rFonts w:ascii="Times New Roman" w:eastAsia="Times New Roman" w:hAnsi="Times New Roman" w:cs="Times New Roman"/>
      <w:sz w:val="16"/>
      <w:szCs w:val="20"/>
      <w:lang w:val="en-GB" w:eastAsia="en-US"/>
    </w:rPr>
  </w:style>
  <w:style w:type="paragraph" w:customStyle="1" w:styleId="Chapter">
    <w:name w:val="Chapter"/>
    <w:basedOn w:val="Normal"/>
    <w:rsid w:val="00E833C3"/>
    <w:pPr>
      <w:spacing w:before="240"/>
    </w:pPr>
    <w:rPr>
      <w:rFonts w:ascii="Times New Roman" w:hAnsi="Times New Roman"/>
      <w:smallCaps/>
      <w:spacing w:val="80"/>
      <w:sz w:val="28"/>
    </w:rPr>
  </w:style>
  <w:style w:type="paragraph" w:customStyle="1" w:styleId="InChapter">
    <w:name w:val="InChapter"/>
    <w:basedOn w:val="Heading3"/>
    <w:rsid w:val="00E833C3"/>
    <w:pPr>
      <w:spacing w:after="240"/>
      <w:outlineLvl w:val="9"/>
    </w:pPr>
    <w:rPr>
      <w:noProof/>
    </w:rPr>
  </w:style>
  <w:style w:type="paragraph" w:styleId="Index2">
    <w:name w:val="index 2"/>
    <w:basedOn w:val="Normal"/>
    <w:next w:val="Normal"/>
    <w:semiHidden/>
    <w:rsid w:val="00E833C3"/>
    <w:pPr>
      <w:tabs>
        <w:tab w:val="right" w:pos="4176"/>
      </w:tabs>
      <w:ind w:left="568" w:hanging="284"/>
    </w:pPr>
    <w:rPr>
      <w:rFonts w:ascii="Garamond" w:hAnsi="Garamond"/>
    </w:rPr>
  </w:style>
  <w:style w:type="paragraph" w:customStyle="1" w:styleId="Byline">
    <w:name w:val="Byline"/>
    <w:rsid w:val="00E833C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833C3"/>
    <w:pPr>
      <w:tabs>
        <w:tab w:val="clear" w:pos="3600"/>
        <w:tab w:val="clear" w:pos="3958"/>
      </w:tabs>
      <w:jc w:val="right"/>
    </w:pPr>
  </w:style>
  <w:style w:type="paragraph" w:styleId="Caption">
    <w:name w:val="caption"/>
    <w:basedOn w:val="BodyText"/>
    <w:next w:val="Normal"/>
    <w:qFormat/>
    <w:rsid w:val="00E833C3"/>
    <w:pPr>
      <w:framePr w:w="2268" w:hSpace="181" w:vSpace="181" w:wrap="around" w:vAnchor="text" w:hAnchor="page" w:x="1135" w:y="285" w:anchorLock="1"/>
    </w:pPr>
    <w:rPr>
      <w:i/>
    </w:rPr>
  </w:style>
  <w:style w:type="paragraph" w:customStyle="1" w:styleId="MiniTOCTitle">
    <w:name w:val="MiniTOCTitle"/>
    <w:basedOn w:val="Heading4"/>
    <w:rsid w:val="00E833C3"/>
    <w:pPr>
      <w:spacing w:before="240"/>
      <w:outlineLvl w:val="9"/>
    </w:pPr>
    <w:rPr>
      <w:noProof/>
      <w:sz w:val="24"/>
    </w:rPr>
  </w:style>
  <w:style w:type="paragraph" w:customStyle="1" w:styleId="MiniTOCItem">
    <w:name w:val="MiniTOCItem"/>
    <w:basedOn w:val="ListBullet"/>
    <w:rsid w:val="00E833C3"/>
    <w:pPr>
      <w:numPr>
        <w:numId w:val="0"/>
      </w:numPr>
      <w:tabs>
        <w:tab w:val="right" w:leader="dot" w:pos="6521"/>
      </w:tabs>
      <w:spacing w:before="0" w:after="0"/>
    </w:pPr>
  </w:style>
  <w:style w:type="paragraph" w:customStyle="1" w:styleId="TOFTitle">
    <w:name w:val="TOFTitle"/>
    <w:basedOn w:val="TOCTitle"/>
    <w:rsid w:val="00E833C3"/>
  </w:style>
  <w:style w:type="paragraph" w:styleId="TableofFigures">
    <w:name w:val="table of figures"/>
    <w:basedOn w:val="Normal"/>
    <w:next w:val="Normal"/>
    <w:semiHidden/>
    <w:rsid w:val="00E833C3"/>
    <w:pPr>
      <w:tabs>
        <w:tab w:val="right" w:leader="dot" w:pos="9072"/>
      </w:tabs>
      <w:ind w:left="970" w:hanging="403"/>
    </w:pPr>
    <w:rPr>
      <w:rFonts w:ascii="Times New Roman" w:hAnsi="Times New Roman"/>
      <w:b/>
    </w:rPr>
  </w:style>
  <w:style w:type="paragraph" w:styleId="ListNumber">
    <w:name w:val="List Number"/>
    <w:basedOn w:val="List"/>
    <w:rsid w:val="00E833C3"/>
    <w:pPr>
      <w:numPr>
        <w:numId w:val="15"/>
      </w:numPr>
      <w:tabs>
        <w:tab w:val="clear" w:pos="340"/>
      </w:tabs>
    </w:pPr>
  </w:style>
  <w:style w:type="character" w:customStyle="1" w:styleId="WingdingSymbols">
    <w:name w:val="Wingding Symbols"/>
    <w:rsid w:val="00E833C3"/>
    <w:rPr>
      <w:rFonts w:ascii="Wingdings" w:hAnsi="Wingdings"/>
    </w:rPr>
  </w:style>
  <w:style w:type="paragraph" w:customStyle="1" w:styleId="TableHeading">
    <w:name w:val="Table Heading"/>
    <w:basedOn w:val="HeadingBase"/>
    <w:rsid w:val="00E833C3"/>
    <w:pPr>
      <w:keepLines/>
      <w:pBdr>
        <w:bottom w:val="single" w:sz="6" w:space="1" w:color="918585"/>
      </w:pBdr>
      <w:spacing w:before="240"/>
    </w:pPr>
  </w:style>
  <w:style w:type="character" w:customStyle="1" w:styleId="HotSpot">
    <w:name w:val="HotSpot"/>
    <w:rsid w:val="00E833C3"/>
    <w:rPr>
      <w:color w:val="0033CC"/>
      <w:u w:val="none"/>
    </w:rPr>
  </w:style>
  <w:style w:type="paragraph" w:customStyle="1" w:styleId="BodyTextRight">
    <w:name w:val="Body Text Right"/>
    <w:basedOn w:val="BodyText"/>
    <w:rsid w:val="00E833C3"/>
    <w:pPr>
      <w:spacing w:before="0" w:after="0"/>
      <w:jc w:val="right"/>
    </w:pPr>
  </w:style>
  <w:style w:type="paragraph" w:styleId="Index3">
    <w:name w:val="index 3"/>
    <w:basedOn w:val="ListNumber2"/>
    <w:next w:val="Normal"/>
    <w:semiHidden/>
    <w:rsid w:val="00E833C3"/>
    <w:pPr>
      <w:numPr>
        <w:numId w:val="0"/>
      </w:numPr>
      <w:tabs>
        <w:tab w:val="right" w:leader="dot" w:pos="4176"/>
      </w:tabs>
    </w:pPr>
  </w:style>
  <w:style w:type="paragraph" w:styleId="ListNumber2">
    <w:name w:val="List Number 2"/>
    <w:basedOn w:val="List2"/>
    <w:rsid w:val="00E833C3"/>
    <w:pPr>
      <w:numPr>
        <w:numId w:val="10"/>
      </w:numPr>
      <w:tabs>
        <w:tab w:val="clear" w:pos="1060"/>
      </w:tabs>
    </w:pPr>
  </w:style>
  <w:style w:type="paragraph" w:customStyle="1" w:styleId="MarginNote">
    <w:name w:val="Margin Note"/>
    <w:basedOn w:val="BodyText"/>
    <w:rsid w:val="00E833C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833C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833C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833C3"/>
    <w:rPr>
      <w:sz w:val="32"/>
    </w:rPr>
  </w:style>
  <w:style w:type="paragraph" w:customStyle="1" w:styleId="HeadingProcedure">
    <w:name w:val="Heading Procedure"/>
    <w:basedOn w:val="HeadingBase"/>
    <w:next w:val="Normal"/>
    <w:rsid w:val="00E833C3"/>
    <w:pPr>
      <w:tabs>
        <w:tab w:val="left" w:pos="0"/>
      </w:tabs>
      <w:spacing w:before="120" w:after="60"/>
    </w:pPr>
    <w:rPr>
      <w:i/>
      <w:color w:val="918585"/>
      <w:sz w:val="22"/>
    </w:rPr>
  </w:style>
  <w:style w:type="paragraph" w:customStyle="1" w:styleId="TableBodyText">
    <w:name w:val="Table Body Text"/>
    <w:basedOn w:val="BodyText"/>
    <w:rsid w:val="00E833C3"/>
    <w:pPr>
      <w:spacing w:before="60" w:after="60"/>
    </w:pPr>
  </w:style>
  <w:style w:type="paragraph" w:styleId="ListContinue">
    <w:name w:val="List Continue"/>
    <w:basedOn w:val="List"/>
    <w:rsid w:val="00E833C3"/>
    <w:pPr>
      <w:ind w:firstLine="0"/>
    </w:pPr>
  </w:style>
  <w:style w:type="paragraph" w:customStyle="1" w:styleId="ListNote">
    <w:name w:val="List Note"/>
    <w:basedOn w:val="List"/>
    <w:rsid w:val="00E833C3"/>
    <w:pPr>
      <w:pBdr>
        <w:top w:val="single" w:sz="6" w:space="2" w:color="918585"/>
        <w:bottom w:val="single" w:sz="6" w:space="2" w:color="918585"/>
      </w:pBdr>
      <w:tabs>
        <w:tab w:val="left" w:pos="1021"/>
      </w:tabs>
      <w:ind w:firstLine="0"/>
    </w:pPr>
  </w:style>
  <w:style w:type="paragraph" w:customStyle="1" w:styleId="Warning">
    <w:name w:val="Warning"/>
    <w:basedOn w:val="BodyText"/>
    <w:rsid w:val="00E833C3"/>
    <w:pPr>
      <w:shd w:val="clear" w:color="auto" w:fill="D9D9D9"/>
      <w:tabs>
        <w:tab w:val="left" w:pos="992"/>
      </w:tabs>
      <w:ind w:left="119" w:right="119"/>
    </w:pPr>
    <w:rPr>
      <w:sz w:val="20"/>
    </w:rPr>
  </w:style>
  <w:style w:type="paragraph" w:customStyle="1" w:styleId="MarginIcons">
    <w:name w:val="Margin Icons"/>
    <w:basedOn w:val="BodyText"/>
    <w:rsid w:val="00E833C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833C3"/>
    <w:rPr>
      <w:rFonts w:ascii="Courier New" w:hAnsi="Courier New"/>
    </w:rPr>
  </w:style>
  <w:style w:type="paragraph" w:customStyle="1" w:styleId="NoteBullet">
    <w:name w:val="Note Bullet"/>
    <w:basedOn w:val="Note"/>
    <w:rsid w:val="00E833C3"/>
    <w:pPr>
      <w:tabs>
        <w:tab w:val="clear" w:pos="680"/>
      </w:tabs>
      <w:spacing w:before="60" w:after="60"/>
    </w:pPr>
  </w:style>
  <w:style w:type="paragraph" w:customStyle="1" w:styleId="SubHeading2">
    <w:name w:val="SubHeading2"/>
    <w:basedOn w:val="HeadingBase"/>
    <w:rsid w:val="00E833C3"/>
    <w:pPr>
      <w:spacing w:before="240" w:after="60"/>
    </w:pPr>
    <w:rPr>
      <w:sz w:val="20"/>
    </w:rPr>
  </w:style>
  <w:style w:type="paragraph" w:customStyle="1" w:styleId="SubHeading1">
    <w:name w:val="SubHeading1"/>
    <w:basedOn w:val="HeadingBase"/>
    <w:rsid w:val="00E833C3"/>
    <w:pPr>
      <w:spacing w:before="240" w:after="60"/>
    </w:pPr>
    <w:rPr>
      <w:color w:val="918585"/>
      <w:sz w:val="22"/>
    </w:rPr>
  </w:style>
  <w:style w:type="paragraph" w:customStyle="1" w:styleId="SideHeading">
    <w:name w:val="Side Heading"/>
    <w:basedOn w:val="HeadingBase"/>
    <w:rsid w:val="00E833C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833C3"/>
    <w:pPr>
      <w:tabs>
        <w:tab w:val="num" w:pos="360"/>
      </w:tabs>
    </w:pPr>
  </w:style>
  <w:style w:type="paragraph" w:styleId="PlainText">
    <w:name w:val="Plain Text"/>
    <w:basedOn w:val="Normal"/>
    <w:link w:val="PlainTextChar"/>
    <w:rsid w:val="00E833C3"/>
    <w:rPr>
      <w:sz w:val="20"/>
    </w:rPr>
  </w:style>
  <w:style w:type="character" w:customStyle="1" w:styleId="PlainTextChar">
    <w:name w:val="Plain Text Char"/>
    <w:basedOn w:val="DefaultParagraphFont"/>
    <w:link w:val="PlainText"/>
    <w:rsid w:val="00E833C3"/>
    <w:rPr>
      <w:rFonts w:ascii="Courier New" w:eastAsia="Times New Roman" w:hAnsi="Courier New" w:cs="Times New Roman"/>
      <w:sz w:val="20"/>
      <w:szCs w:val="20"/>
      <w:lang w:eastAsia="en-US"/>
    </w:rPr>
  </w:style>
  <w:style w:type="character" w:customStyle="1" w:styleId="MenuOption">
    <w:name w:val="Menu Option"/>
    <w:basedOn w:val="DefaultParagraphFont"/>
    <w:rsid w:val="00E833C3"/>
    <w:rPr>
      <w:b/>
      <w:smallCaps/>
    </w:rPr>
  </w:style>
  <w:style w:type="paragraph" w:customStyle="1" w:styleId="TableListNumber">
    <w:name w:val="Table List Number"/>
    <w:basedOn w:val="ListNumber"/>
    <w:rsid w:val="00E833C3"/>
    <w:pPr>
      <w:numPr>
        <w:numId w:val="0"/>
      </w:numPr>
    </w:pPr>
  </w:style>
  <w:style w:type="paragraph" w:styleId="TOC4">
    <w:name w:val="toc 4"/>
    <w:basedOn w:val="TOCBase"/>
    <w:next w:val="Normal"/>
    <w:semiHidden/>
    <w:rsid w:val="00E833C3"/>
    <w:pPr>
      <w:tabs>
        <w:tab w:val="right" w:leader="dot" w:pos="9071"/>
      </w:tabs>
      <w:ind w:left="1701"/>
    </w:pPr>
  </w:style>
  <w:style w:type="paragraph" w:customStyle="1" w:styleId="ListAlpha">
    <w:name w:val="List Alpha"/>
    <w:basedOn w:val="List"/>
    <w:rsid w:val="00E833C3"/>
    <w:pPr>
      <w:numPr>
        <w:numId w:val="9"/>
      </w:numPr>
    </w:pPr>
  </w:style>
  <w:style w:type="paragraph" w:customStyle="1" w:styleId="ListAlpha2">
    <w:name w:val="List Alpha 2"/>
    <w:basedOn w:val="List2"/>
    <w:rsid w:val="00E833C3"/>
    <w:pPr>
      <w:numPr>
        <w:numId w:val="8"/>
      </w:numPr>
    </w:pPr>
  </w:style>
  <w:style w:type="paragraph" w:styleId="List2">
    <w:name w:val="List 2"/>
    <w:basedOn w:val="BodyText"/>
    <w:rsid w:val="00E833C3"/>
    <w:pPr>
      <w:tabs>
        <w:tab w:val="left" w:pos="680"/>
      </w:tabs>
      <w:spacing w:before="60" w:after="60"/>
      <w:ind w:left="680" w:hanging="340"/>
    </w:pPr>
  </w:style>
  <w:style w:type="paragraph" w:styleId="List3">
    <w:name w:val="List 3"/>
    <w:basedOn w:val="BodyText"/>
    <w:rsid w:val="00E833C3"/>
    <w:pPr>
      <w:tabs>
        <w:tab w:val="left" w:pos="1021"/>
      </w:tabs>
      <w:spacing w:before="60" w:after="60"/>
      <w:ind w:left="1020" w:hanging="340"/>
    </w:pPr>
  </w:style>
  <w:style w:type="paragraph" w:styleId="List4">
    <w:name w:val="List 4"/>
    <w:basedOn w:val="BodyText"/>
    <w:rsid w:val="00E833C3"/>
    <w:pPr>
      <w:tabs>
        <w:tab w:val="left" w:pos="1361"/>
      </w:tabs>
      <w:spacing w:before="60" w:after="60"/>
      <w:ind w:left="1361" w:hanging="340"/>
    </w:pPr>
  </w:style>
  <w:style w:type="paragraph" w:styleId="List5">
    <w:name w:val="List 5"/>
    <w:basedOn w:val="BodyText"/>
    <w:rsid w:val="00E833C3"/>
    <w:pPr>
      <w:tabs>
        <w:tab w:val="left" w:pos="1701"/>
      </w:tabs>
      <w:spacing w:before="60" w:after="60"/>
      <w:ind w:left="1701" w:hanging="340"/>
    </w:pPr>
  </w:style>
  <w:style w:type="paragraph" w:styleId="ListBullet3">
    <w:name w:val="List Bullet 3"/>
    <w:basedOn w:val="List3"/>
    <w:rsid w:val="00E833C3"/>
    <w:pPr>
      <w:numPr>
        <w:numId w:val="14"/>
      </w:numPr>
      <w:tabs>
        <w:tab w:val="clear" w:pos="1021"/>
      </w:tabs>
      <w:ind w:left="1037" w:hanging="357"/>
    </w:pPr>
  </w:style>
  <w:style w:type="paragraph" w:styleId="ListBullet4">
    <w:name w:val="List Bullet 4"/>
    <w:basedOn w:val="List4"/>
    <w:rsid w:val="00E833C3"/>
    <w:pPr>
      <w:numPr>
        <w:numId w:val="3"/>
      </w:numPr>
      <w:tabs>
        <w:tab w:val="clear" w:pos="1361"/>
      </w:tabs>
    </w:pPr>
  </w:style>
  <w:style w:type="paragraph" w:styleId="ListBullet5">
    <w:name w:val="List Bullet 5"/>
    <w:basedOn w:val="List5"/>
    <w:rsid w:val="00E833C3"/>
    <w:pPr>
      <w:numPr>
        <w:numId w:val="4"/>
      </w:numPr>
    </w:pPr>
  </w:style>
  <w:style w:type="paragraph" w:styleId="ListContinue2">
    <w:name w:val="List Continue 2"/>
    <w:basedOn w:val="List2"/>
    <w:rsid w:val="00E833C3"/>
    <w:pPr>
      <w:ind w:firstLine="0"/>
    </w:pPr>
  </w:style>
  <w:style w:type="paragraph" w:styleId="ListContinue3">
    <w:name w:val="List Continue 3"/>
    <w:basedOn w:val="List3"/>
    <w:rsid w:val="00E833C3"/>
    <w:pPr>
      <w:ind w:left="1021" w:firstLine="0"/>
    </w:pPr>
  </w:style>
  <w:style w:type="paragraph" w:styleId="ListContinue4">
    <w:name w:val="List Continue 4"/>
    <w:basedOn w:val="List4"/>
    <w:rsid w:val="00E833C3"/>
    <w:pPr>
      <w:ind w:firstLine="0"/>
    </w:pPr>
  </w:style>
  <w:style w:type="paragraph" w:styleId="ListContinue5">
    <w:name w:val="List Continue 5"/>
    <w:basedOn w:val="List5"/>
    <w:rsid w:val="00E833C3"/>
    <w:pPr>
      <w:ind w:firstLine="0"/>
    </w:pPr>
  </w:style>
  <w:style w:type="paragraph" w:styleId="ListNumber3">
    <w:name w:val="List Number 3"/>
    <w:basedOn w:val="List3"/>
    <w:rsid w:val="00E833C3"/>
    <w:pPr>
      <w:numPr>
        <w:numId w:val="5"/>
      </w:numPr>
    </w:pPr>
  </w:style>
  <w:style w:type="paragraph" w:styleId="ListNumber4">
    <w:name w:val="List Number 4"/>
    <w:basedOn w:val="List4"/>
    <w:rsid w:val="00E833C3"/>
    <w:pPr>
      <w:numPr>
        <w:numId w:val="6"/>
      </w:numPr>
    </w:pPr>
  </w:style>
  <w:style w:type="paragraph" w:styleId="ListNumber5">
    <w:name w:val="List Number 5"/>
    <w:basedOn w:val="List5"/>
    <w:rsid w:val="00E833C3"/>
    <w:pPr>
      <w:numPr>
        <w:numId w:val="7"/>
      </w:numPr>
    </w:pPr>
  </w:style>
  <w:style w:type="paragraph" w:styleId="BlockText">
    <w:name w:val="Block Text"/>
    <w:basedOn w:val="Normal"/>
    <w:rsid w:val="00E833C3"/>
    <w:pPr>
      <w:spacing w:after="120"/>
      <w:ind w:left="1440" w:right="1440"/>
    </w:pPr>
  </w:style>
  <w:style w:type="character" w:customStyle="1" w:styleId="Subscript">
    <w:name w:val="Subscript"/>
    <w:basedOn w:val="DefaultParagraphFont"/>
    <w:rsid w:val="00E833C3"/>
    <w:rPr>
      <w:sz w:val="16"/>
      <w:vertAlign w:val="subscript"/>
    </w:rPr>
  </w:style>
  <w:style w:type="character" w:customStyle="1" w:styleId="Superscript">
    <w:name w:val="Superscript"/>
    <w:basedOn w:val="DefaultParagraphFont"/>
    <w:rsid w:val="00E833C3"/>
    <w:rPr>
      <w:sz w:val="16"/>
      <w:vertAlign w:val="superscript"/>
    </w:rPr>
  </w:style>
  <w:style w:type="character" w:customStyle="1" w:styleId="Symbols">
    <w:name w:val="Symbols"/>
    <w:basedOn w:val="DefaultParagraphFont"/>
    <w:rsid w:val="00E833C3"/>
    <w:rPr>
      <w:rFonts w:ascii="Symbol" w:hAnsi="Symbol"/>
    </w:rPr>
  </w:style>
  <w:style w:type="character" w:customStyle="1" w:styleId="MenuOptions">
    <w:name w:val="Menu Options"/>
    <w:basedOn w:val="DefaultParagraphFont"/>
    <w:rsid w:val="00E833C3"/>
    <w:rPr>
      <w:rFonts w:ascii="Arial Narrow" w:hAnsi="Arial Narrow"/>
      <w:smallCaps/>
    </w:rPr>
  </w:style>
  <w:style w:type="character" w:customStyle="1" w:styleId="Buttons">
    <w:name w:val="Buttons"/>
    <w:basedOn w:val="DefaultParagraphFont"/>
    <w:rsid w:val="00E833C3"/>
    <w:rPr>
      <w:b/>
    </w:rPr>
  </w:style>
  <w:style w:type="character" w:customStyle="1" w:styleId="Underlined">
    <w:name w:val="Underlined"/>
    <w:basedOn w:val="DefaultParagraphFont"/>
    <w:rsid w:val="00E833C3"/>
    <w:rPr>
      <w:u w:val="single"/>
    </w:rPr>
  </w:style>
  <w:style w:type="paragraph" w:customStyle="1" w:styleId="TableBodyTextRight">
    <w:name w:val="Table Body Text Right"/>
    <w:basedOn w:val="TableBodyText"/>
    <w:rsid w:val="00E833C3"/>
    <w:pPr>
      <w:widowControl w:val="0"/>
      <w:autoSpaceDE w:val="0"/>
      <w:autoSpaceDN w:val="0"/>
      <w:adjustRightInd w:val="0"/>
      <w:jc w:val="right"/>
    </w:pPr>
    <w:rPr>
      <w:rFonts w:cs="Arial"/>
      <w:szCs w:val="18"/>
    </w:rPr>
  </w:style>
  <w:style w:type="paragraph" w:customStyle="1" w:styleId="CopyrightText">
    <w:name w:val="Copyright Text"/>
    <w:basedOn w:val="BodyText"/>
    <w:rsid w:val="00E833C3"/>
    <w:rPr>
      <w:sz w:val="18"/>
    </w:rPr>
  </w:style>
  <w:style w:type="paragraph" w:customStyle="1" w:styleId="BodySmallRight">
    <w:name w:val="Body Small Right"/>
    <w:basedOn w:val="BodyTextRight"/>
    <w:rsid w:val="00E833C3"/>
    <w:rPr>
      <w:sz w:val="18"/>
      <w:szCs w:val="18"/>
    </w:rPr>
  </w:style>
  <w:style w:type="paragraph" w:customStyle="1" w:styleId="MarginEdition">
    <w:name w:val="Margin Edition"/>
    <w:basedOn w:val="MarginNote"/>
    <w:rsid w:val="00E833C3"/>
    <w:pPr>
      <w:spacing w:before="0" w:after="0"/>
    </w:pPr>
    <w:rPr>
      <w:rFonts w:ascii="Times New Roman" w:hAnsi="Times New Roman"/>
      <w:color w:val="999999"/>
    </w:rPr>
  </w:style>
  <w:style w:type="paragraph" w:customStyle="1" w:styleId="Spacer">
    <w:name w:val="Spacer"/>
    <w:basedOn w:val="Normal"/>
    <w:rsid w:val="00E833C3"/>
    <w:rPr>
      <w:sz w:val="2"/>
      <w:szCs w:val="2"/>
    </w:rPr>
  </w:style>
  <w:style w:type="character" w:customStyle="1" w:styleId="Small">
    <w:name w:val="Small"/>
    <w:basedOn w:val="DefaultParagraphFont"/>
    <w:rsid w:val="00E833C3"/>
    <w:rPr>
      <w:sz w:val="16"/>
    </w:rPr>
  </w:style>
  <w:style w:type="paragraph" w:customStyle="1" w:styleId="WideTable">
    <w:name w:val="Wide Table"/>
    <w:basedOn w:val="Normal"/>
    <w:rsid w:val="00E833C3"/>
    <w:pPr>
      <w:ind w:left="-1418"/>
    </w:pPr>
    <w:rPr>
      <w:sz w:val="2"/>
      <w:szCs w:val="2"/>
    </w:rPr>
  </w:style>
  <w:style w:type="character" w:styleId="PageNumber">
    <w:name w:val="page number"/>
    <w:basedOn w:val="DefaultParagraphFont"/>
    <w:rsid w:val="00E833C3"/>
  </w:style>
  <w:style w:type="paragraph" w:styleId="Quote">
    <w:name w:val="Quote"/>
    <w:basedOn w:val="Heading1"/>
    <w:link w:val="QuoteChar"/>
    <w:qFormat/>
    <w:rsid w:val="00E833C3"/>
    <w:rPr>
      <w:b w:val="0"/>
      <w:sz w:val="72"/>
      <w:szCs w:val="72"/>
      <w:lang w:val="en-NZ"/>
    </w:rPr>
  </w:style>
  <w:style w:type="character" w:customStyle="1" w:styleId="QuoteChar">
    <w:name w:val="Quote Char"/>
    <w:basedOn w:val="DefaultParagraphFont"/>
    <w:link w:val="Quote"/>
    <w:rsid w:val="00E833C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833C3"/>
    <w:pPr>
      <w:pageBreakBefore/>
    </w:pPr>
  </w:style>
  <w:style w:type="paragraph" w:customStyle="1" w:styleId="Border">
    <w:name w:val="Border"/>
    <w:basedOn w:val="Normal"/>
    <w:qFormat/>
    <w:rsid w:val="00E833C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833C3"/>
    <w:rPr>
      <w:b/>
      <w:bCs/>
      <w:i/>
      <w:iCs/>
      <w:color w:val="auto"/>
    </w:rPr>
  </w:style>
  <w:style w:type="paragraph" w:styleId="IntenseQuote">
    <w:name w:val="Intense Quote"/>
    <w:basedOn w:val="Normal"/>
    <w:next w:val="Normal"/>
    <w:link w:val="IntenseQuoteChar"/>
    <w:uiPriority w:val="30"/>
    <w:qFormat/>
    <w:rsid w:val="00E833C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833C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833C3"/>
    <w:rPr>
      <w:smallCaps/>
      <w:color w:val="auto"/>
      <w:u w:val="single"/>
    </w:rPr>
  </w:style>
  <w:style w:type="character" w:styleId="IntenseReference">
    <w:name w:val="Intense Reference"/>
    <w:basedOn w:val="DefaultParagraphFont"/>
    <w:uiPriority w:val="32"/>
    <w:qFormat/>
    <w:rsid w:val="00E833C3"/>
    <w:rPr>
      <w:b/>
      <w:bCs/>
      <w:smallCaps/>
      <w:color w:val="auto"/>
      <w:spacing w:val="5"/>
      <w:u w:val="single"/>
    </w:rPr>
  </w:style>
  <w:style w:type="paragraph" w:customStyle="1" w:styleId="2ColumnHeading">
    <w:name w:val="2Column Heading"/>
    <w:basedOn w:val="BodyText"/>
    <w:qFormat/>
    <w:rsid w:val="00E833C3"/>
    <w:pPr>
      <w:spacing w:after="60"/>
      <w:ind w:left="-2268"/>
    </w:pPr>
    <w:rPr>
      <w:b/>
    </w:rPr>
  </w:style>
  <w:style w:type="paragraph" w:customStyle="1" w:styleId="Heading1TOC">
    <w:name w:val="Heading1 TOC"/>
    <w:basedOn w:val="Normal"/>
    <w:qFormat/>
    <w:rsid w:val="00E833C3"/>
    <w:pPr>
      <w:spacing w:before="240" w:after="120"/>
    </w:pPr>
    <w:rPr>
      <w:rFonts w:ascii="Times New Roman" w:hAnsi="Times New Roman"/>
      <w:b/>
      <w:sz w:val="32"/>
    </w:rPr>
  </w:style>
  <w:style w:type="paragraph" w:customStyle="1" w:styleId="Heading2TOC">
    <w:name w:val="Heading2 TOC"/>
    <w:basedOn w:val="Normal"/>
    <w:qFormat/>
    <w:rsid w:val="00E833C3"/>
    <w:pPr>
      <w:spacing w:before="240" w:after="60"/>
    </w:pPr>
    <w:rPr>
      <w:rFonts w:ascii="Times New Roman" w:hAnsi="Times New Roman"/>
      <w:b/>
      <w:sz w:val="28"/>
    </w:rPr>
  </w:style>
  <w:style w:type="character" w:customStyle="1" w:styleId="Underline">
    <w:name w:val="Underline"/>
    <w:basedOn w:val="DefaultParagraphFont"/>
    <w:qFormat/>
    <w:rsid w:val="00E833C3"/>
    <w:rPr>
      <w:u w:val="single"/>
    </w:rPr>
  </w:style>
  <w:style w:type="character" w:customStyle="1" w:styleId="BoldandItalics">
    <w:name w:val="Bold and Italics"/>
    <w:qFormat/>
    <w:rsid w:val="00E833C3"/>
    <w:rPr>
      <w:b/>
      <w:i/>
      <w:u w:val="none"/>
    </w:rPr>
  </w:style>
  <w:style w:type="paragraph" w:styleId="BalloonText">
    <w:name w:val="Balloon Text"/>
    <w:basedOn w:val="Normal"/>
    <w:link w:val="BalloonTextChar"/>
    <w:rsid w:val="00E833C3"/>
    <w:rPr>
      <w:rFonts w:ascii="Tahoma" w:hAnsi="Tahoma" w:cs="Tahoma"/>
      <w:sz w:val="16"/>
      <w:szCs w:val="16"/>
    </w:rPr>
  </w:style>
  <w:style w:type="character" w:customStyle="1" w:styleId="BalloonTextChar">
    <w:name w:val="Balloon Text Char"/>
    <w:basedOn w:val="DefaultParagraphFont"/>
    <w:link w:val="BalloonText"/>
    <w:rsid w:val="00E833C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833C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833C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833C3"/>
    <w:rPr>
      <w:b/>
      <w:color w:val="660033"/>
      <w:spacing w:val="0"/>
    </w:rPr>
  </w:style>
  <w:style w:type="paragraph" w:customStyle="1" w:styleId="Nameditemlist">
    <w:name w:val="Named item list"/>
    <w:basedOn w:val="BodyText"/>
    <w:qFormat/>
    <w:rsid w:val="00E833C3"/>
    <w:pPr>
      <w:tabs>
        <w:tab w:val="left" w:pos="2835"/>
      </w:tabs>
      <w:ind w:left="2835" w:hanging="2835"/>
    </w:pPr>
  </w:style>
  <w:style w:type="paragraph" w:customStyle="1" w:styleId="BodyTextnopadding">
    <w:name w:val="Body Text no padding"/>
    <w:basedOn w:val="BodyText"/>
    <w:qFormat/>
    <w:rsid w:val="00E833C3"/>
    <w:pPr>
      <w:spacing w:before="0" w:after="0"/>
    </w:pPr>
  </w:style>
  <w:style w:type="character" w:styleId="Hyperlink">
    <w:name w:val="Hyperlink"/>
    <w:basedOn w:val="DefaultParagraphFont"/>
    <w:uiPriority w:val="99"/>
    <w:unhideWhenUsed/>
    <w:rsid w:val="004D1CD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1769</Words>
  <Characters>11537</Characters>
  <Application>Microsoft Office Word</Application>
  <DocSecurity>0</DocSecurity>
  <Lines>295</Lines>
  <Paragraphs>182</Paragraphs>
  <ScaleCrop>false</ScaleCrop>
  <Company>Author-it Software Corporation Ltd.</Company>
  <LinksUpToDate>false</LinksUpToDate>
  <CharactersWithSpaces>13124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RIIMCU605E Establish and maintain inrush management systems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2025-03-01T18:28:00Z</dcterms:created>
  <dcterms:modified xsi:type="dcterms:W3CDTF">2025-03-01T18:28:00Z</dcterms:modified>
</cp:coreProperties>
</file>