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4455" w:rsidP="00474455">
      <w:pPr>
        <w:pStyle w:val="Title"/>
      </w:pPr>
      <w:r>
        <w:fldChar w:fldCharType="begin"/>
      </w:r>
      <w:r>
        <w:instrText xml:space="preserve"> TITLE   \* MERGEFORMAT </w:instrText>
      </w:r>
      <w:r>
        <w:fldChar w:fldCharType="separate"/>
      </w:r>
      <w:r>
        <w:t>Assessment Requirements for RIIMCU505E Implement the inrush management plan</w:t>
      </w:r>
      <w:r>
        <w:fldChar w:fldCharType="end"/>
      </w:r>
    </w:p>
    <w:p w:rsidR="00474455" w:rsidP="00474455">
      <w:pPr>
        <w:pStyle w:val="Version"/>
        <w:sectPr w:rsidSect="004E70C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70CE" w:rsidP="004E70CE">
      <w:pPr>
        <w:pStyle w:val="SuperHeading"/>
      </w:pPr>
      <w:r w:rsidRPr="004E70CE">
        <w:t>Assessment Requirements for RIIMCU505E Implement the inrush management plan</w:t>
      </w:r>
    </w:p>
    <w:p w:rsidR="00000000" w:rsidRPr="004E70CE" w:rsidP="004E70CE">
      <w:pPr>
        <w:pStyle w:val="Heading1"/>
      </w:pPr>
      <w:bookmarkStart w:id="1" w:name="O_1108536"/>
      <w:bookmarkEnd w:id="1"/>
      <w:r w:rsidRPr="004E70CE">
        <w:t>Modification History</w:t>
      </w:r>
    </w:p>
    <w:tbl>
      <w:tblPr>
        <w:tblW w:w="9522" w:type="dxa"/>
        <w:tblLayout w:type="fixed"/>
        <w:tblCellMar>
          <w:left w:w="62" w:type="dxa"/>
          <w:right w:w="62" w:type="dxa"/>
        </w:tblCellMar>
        <w:tblLook w:val="0000"/>
      </w:tblPr>
      <w:tblGrid>
        <w:gridCol w:w="2929"/>
        <w:gridCol w:w="6593"/>
      </w:tblGrid>
      <w:tr w:rsidTr="004E70CE">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70CE" w:rsidP="004E70CE">
            <w:pPr>
              <w:pStyle w:val="BodyText"/>
            </w:pPr>
            <w:r w:rsidRPr="004E70CE">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70CE">
            <w:pPr>
              <w:pStyle w:val="BodyText"/>
              <w:rPr>
                <w:lang w:val="en-NZ"/>
              </w:rPr>
            </w:pPr>
            <w:r w:rsidRPr="004E70CE">
              <w:rPr>
                <w:rStyle w:val="SpecialBold"/>
              </w:rPr>
              <w:t>Comments</w:t>
            </w:r>
          </w:p>
        </w:tc>
      </w:tr>
      <w:tr w:rsidTr="004E70CE">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70CE">
            <w:pPr>
              <w:pStyle w:val="BodyText"/>
              <w:rPr>
                <w:lang w:val="en-NZ"/>
              </w:rPr>
            </w:pPr>
            <w:r w:rsidRPr="004E70CE">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70CE" w:rsidP="004E70CE">
            <w:pPr>
              <w:pStyle w:val="BodyText"/>
            </w:pPr>
            <w:r w:rsidRPr="004E70CE">
              <w:t>This version first released with RII Resources and Infrastructure Industry Training Package Version 5.0.</w:t>
            </w:r>
          </w:p>
        </w:tc>
      </w:tr>
    </w:tbl>
    <w:p w:rsidR="00000000" w:rsidRPr="004E70CE" w:rsidP="004E70CE">
      <w:pPr>
        <w:pStyle w:val="BodyText"/>
      </w:pPr>
    </w:p>
    <w:p w:rsidR="00000000" w:rsidRPr="004E70CE" w:rsidP="004E70CE">
      <w:pPr>
        <w:pStyle w:val="AllowPageBreak"/>
      </w:pPr>
    </w:p>
    <w:p w:rsidR="00000000" w:rsidRPr="004E70CE" w:rsidP="004E70CE">
      <w:pPr>
        <w:pStyle w:val="Heading1"/>
      </w:pPr>
      <w:bookmarkStart w:id="2" w:name="O_1108539"/>
      <w:bookmarkEnd w:id="2"/>
      <w:r w:rsidRPr="004E70CE">
        <w:t>Performance Evidence</w:t>
      </w:r>
    </w:p>
    <w:p w:rsidR="00000000" w:rsidRPr="004E70CE" w:rsidP="00474455">
      <w:pPr>
        <w:pStyle w:val="BodyText"/>
      </w:pPr>
      <w:r w:rsidRPr="004E70CE">
        <w:t>The candidate must demonstrate the ability to complete the tasks outlined in the elements, performance criteria and foundation skills of this unit, including evidence of the ability to:</w:t>
      </w:r>
    </w:p>
    <w:p w:rsidR="00000000" w:rsidRPr="004E70CE" w:rsidP="004E70CE">
      <w:pPr>
        <w:pStyle w:val="ListBullet"/>
      </w:pPr>
      <w:r w:rsidRPr="004E70CE">
        <w:t>implement inrush management pl</w:t>
      </w:r>
      <w:r w:rsidRPr="004E70CE">
        <w:t>ans on at least two occasions, including:</w:t>
      </w:r>
    </w:p>
    <w:p w:rsidR="00000000" w:rsidRPr="004E70CE" w:rsidP="004E70CE">
      <w:pPr>
        <w:pStyle w:val="ListBullet2"/>
      </w:pPr>
      <w:r w:rsidRPr="004E70CE">
        <w:t>identifying viable options and selecting the inrush management plan elements that best meet required outcomes</w:t>
      </w:r>
    </w:p>
    <w:p w:rsidR="00000000" w:rsidRPr="004E70CE" w:rsidP="004E70CE">
      <w:pPr>
        <w:pStyle w:val="ListBullet2"/>
      </w:pPr>
      <w:r w:rsidRPr="004E70CE">
        <w:t>conducting audits/enquiries/investigations and preparing reports.</w:t>
      </w:r>
    </w:p>
    <w:p w:rsidR="00000000" w:rsidRPr="004E70CE" w:rsidP="004E70CE">
      <w:pPr>
        <w:pStyle w:val="BodyText"/>
      </w:pPr>
    </w:p>
    <w:p w:rsidR="00000000" w:rsidRPr="004E70CE" w:rsidP="004E70CE">
      <w:pPr>
        <w:pStyle w:val="List"/>
      </w:pPr>
      <w:r w:rsidRPr="004E70CE">
        <w:t>During the above, the candidate must:</w:t>
      </w:r>
    </w:p>
    <w:p w:rsidR="00000000" w:rsidRPr="004E70CE" w:rsidP="004E70CE">
      <w:pPr>
        <w:pStyle w:val="ListBullet"/>
      </w:pPr>
      <w:r w:rsidRPr="004E70CE">
        <w:t>locate and apply relevant legislation, documentation, policies and procedures and confirm work activity is compliant</w:t>
      </w:r>
    </w:p>
    <w:p w:rsidR="00000000" w:rsidRPr="004E70CE" w:rsidP="004E70CE">
      <w:pPr>
        <w:pStyle w:val="ListBullet"/>
      </w:pPr>
      <w:r w:rsidRPr="004E70CE">
        <w:t>apply procedures and techniques for implementing inrush management plans, including:</w:t>
      </w:r>
    </w:p>
    <w:p w:rsidR="00000000" w:rsidRPr="004E70CE" w:rsidP="004E70CE">
      <w:pPr>
        <w:pStyle w:val="ListBullet2"/>
      </w:pPr>
      <w:r w:rsidRPr="004E70CE">
        <w:t>operating hand</w:t>
      </w:r>
      <w:r w:rsidRPr="004E70CE">
        <w:t xml:space="preserve"> held monitoring equipment</w:t>
      </w:r>
    </w:p>
    <w:p w:rsidR="00000000" w:rsidRPr="004E70CE" w:rsidP="004E70CE">
      <w:pPr>
        <w:pStyle w:val="ListBullet2"/>
      </w:pPr>
      <w:r w:rsidRPr="004E70CE">
        <w:t>accessing and interpreting data from monitoring systems and equipment</w:t>
      </w:r>
    </w:p>
    <w:p w:rsidR="00000000" w:rsidRPr="004E70CE" w:rsidP="004E70CE">
      <w:pPr>
        <w:pStyle w:val="ListBullet2"/>
      </w:pPr>
      <w:r w:rsidRPr="004E70CE">
        <w:t>accessing and interpreting design criteria for inrush prevention and management systems and devices</w:t>
      </w:r>
    </w:p>
    <w:p w:rsidR="00000000" w:rsidRPr="004E70CE" w:rsidP="004E70CE">
      <w:pPr>
        <w:pStyle w:val="ListBullet2"/>
      </w:pPr>
      <w:r w:rsidRPr="004E70CE">
        <w:t>performing inrush planning mathematical calculations</w:t>
      </w:r>
    </w:p>
    <w:p w:rsidR="00000000" w:rsidRPr="004E70CE" w:rsidP="004E70CE">
      <w:pPr>
        <w:pStyle w:val="ListBullet2"/>
      </w:pPr>
      <w:r w:rsidRPr="004E70CE">
        <w:t>interp</w:t>
      </w:r>
      <w:r w:rsidRPr="004E70CE">
        <w:t>reting and applying mathematical and scientific theorems/laws related to inrush</w:t>
      </w:r>
    </w:p>
    <w:p w:rsidR="00000000" w:rsidRPr="004E70CE" w:rsidP="004E70CE">
      <w:pPr>
        <w:pStyle w:val="ListBullet2"/>
      </w:pPr>
      <w:r w:rsidRPr="004E70CE">
        <w:t>interpreting computer spreadsheets and inrush modelling/simulations</w:t>
      </w:r>
    </w:p>
    <w:p w:rsidR="00000000" w:rsidRPr="004E70CE" w:rsidP="004E70CE">
      <w:pPr>
        <w:pStyle w:val="ListBullet2"/>
      </w:pPr>
      <w:r w:rsidRPr="004E70CE">
        <w:t>accessing and interpreting archival and historical inrush information related to the mine</w:t>
      </w:r>
    </w:p>
    <w:p w:rsidR="00000000" w:rsidRPr="004E70CE" w:rsidP="004E70CE">
      <w:pPr>
        <w:pStyle w:val="ListBullet"/>
      </w:pPr>
      <w:r w:rsidRPr="004E70CE">
        <w:t>work with others to implement the inrush management plan in a manner that meets required outcomes, including:</w:t>
      </w:r>
    </w:p>
    <w:p w:rsidR="00000000" w:rsidRPr="004E70CE" w:rsidP="004E70CE">
      <w:pPr>
        <w:pStyle w:val="ListBullet2"/>
      </w:pPr>
      <w:r w:rsidRPr="004E70CE">
        <w:t>communicating clearly and concisely with others to receive and clarify work instructions, and convey work progress</w:t>
      </w:r>
    </w:p>
    <w:p w:rsidR="00000000" w:rsidRPr="004E70CE" w:rsidP="004E70CE">
      <w:pPr>
        <w:pStyle w:val="ListBullet2"/>
      </w:pPr>
      <w:r w:rsidRPr="004E70CE">
        <w:t>identifying roles and responsi</w:t>
      </w:r>
      <w:r w:rsidRPr="004E70CE">
        <w:t>bilities according to the inrush management plan</w:t>
      </w:r>
    </w:p>
    <w:p w:rsidR="00000000" w:rsidRPr="004E70CE" w:rsidP="004E70CE">
      <w:pPr>
        <w:pStyle w:val="ListBullet2"/>
      </w:pPr>
      <w:r w:rsidRPr="004E70CE">
        <w:t>identifying the relevant information and scope of the work necessary to meet required outcomes</w:t>
      </w:r>
    </w:p>
    <w:p w:rsidR="00000000" w:rsidRPr="004E70CE" w:rsidP="004E70CE">
      <w:pPr>
        <w:pStyle w:val="ListBullet2"/>
      </w:pPr>
      <w:r w:rsidRPr="004E70CE">
        <w:t>interpreting inrush training requirements.</w:t>
      </w:r>
    </w:p>
    <w:p w:rsidR="00000000" w:rsidRPr="004E70CE" w:rsidP="004E70CE">
      <w:pPr>
        <w:pStyle w:val="AllowPageBreak"/>
      </w:pPr>
    </w:p>
    <w:p w:rsidR="00000000" w:rsidRPr="004E70CE" w:rsidP="004E70CE">
      <w:pPr>
        <w:pStyle w:val="Heading1"/>
      </w:pPr>
      <w:bookmarkStart w:id="3" w:name="O_1108538"/>
      <w:bookmarkEnd w:id="3"/>
      <w:r w:rsidRPr="004E70CE">
        <w:t>Knowledge Evidence</w:t>
      </w:r>
    </w:p>
    <w:p w:rsidR="00000000" w:rsidRPr="004E70CE" w:rsidP="00474455">
      <w:pPr>
        <w:pStyle w:val="BodyText"/>
      </w:pPr>
      <w:r w:rsidRPr="004E70CE">
        <w:t>The candidate must be able to d</w:t>
      </w:r>
      <w:r w:rsidRPr="004E70CE">
        <w:t>emonstrate knowledge to complete the tasks outlined in the elements, performance criteria and foundation skills of this unit, including knowledge of:</w:t>
      </w:r>
    </w:p>
    <w:p w:rsidR="00000000" w:rsidRPr="004E70CE" w:rsidP="004E70CE">
      <w:pPr>
        <w:pStyle w:val="ListBullet"/>
      </w:pPr>
      <w:r w:rsidRPr="004E70CE">
        <w:t>key legislation required to implement inrush management plans</w:t>
      </w:r>
    </w:p>
    <w:p w:rsidR="00000000" w:rsidRPr="004E70CE" w:rsidP="004E70CE">
      <w:pPr>
        <w:pStyle w:val="ListBullet"/>
      </w:pPr>
      <w:r w:rsidRPr="004E70CE">
        <w:t>key procedures and documentation required t</w:t>
      </w:r>
      <w:r w:rsidRPr="004E70CE">
        <w:t>o implement inrush management plans, including:</w:t>
      </w:r>
    </w:p>
    <w:p w:rsidR="00000000" w:rsidRPr="004E70CE" w:rsidP="004E70CE">
      <w:pPr>
        <w:pStyle w:val="ListBullet2"/>
      </w:pPr>
      <w:r w:rsidRPr="004E70CE">
        <w:t>inrush management plan</w:t>
      </w:r>
    </w:p>
    <w:p w:rsidR="00000000" w:rsidRPr="004E70CE" w:rsidP="004E70CE">
      <w:pPr>
        <w:pStyle w:val="ListBullet2"/>
      </w:pPr>
      <w:r w:rsidRPr="004E70CE">
        <w:t>mine site historical information</w:t>
      </w:r>
    </w:p>
    <w:p w:rsidR="00000000" w:rsidRPr="004E70CE" w:rsidP="004E70CE">
      <w:pPr>
        <w:pStyle w:val="ListBullet"/>
      </w:pPr>
      <w:r w:rsidRPr="004E70CE">
        <w:t>systems of mining and their impact on inrush management, including:</w:t>
      </w:r>
    </w:p>
    <w:p w:rsidR="00000000" w:rsidRPr="004E70CE" w:rsidP="004E70CE">
      <w:pPr>
        <w:pStyle w:val="ListBullet2"/>
      </w:pPr>
      <w:r w:rsidRPr="004E70CE">
        <w:t>tunnels</w:t>
      </w:r>
    </w:p>
    <w:p w:rsidR="00000000" w:rsidRPr="004E70CE" w:rsidP="004E70CE">
      <w:pPr>
        <w:pStyle w:val="ListBullet2"/>
      </w:pPr>
      <w:r w:rsidRPr="004E70CE">
        <w:t>drifts</w:t>
      </w:r>
    </w:p>
    <w:p w:rsidR="00000000" w:rsidRPr="004E70CE" w:rsidP="004E70CE">
      <w:pPr>
        <w:pStyle w:val="ListBullet2"/>
      </w:pPr>
      <w:r w:rsidRPr="004E70CE">
        <w:t>stone drivage</w:t>
      </w:r>
    </w:p>
    <w:p w:rsidR="00000000" w:rsidRPr="004E70CE" w:rsidP="004E70CE">
      <w:pPr>
        <w:pStyle w:val="ListBullet2"/>
      </w:pPr>
      <w:r w:rsidRPr="004E70CE">
        <w:t>shaft sinking</w:t>
      </w:r>
    </w:p>
    <w:p w:rsidR="00000000" w:rsidRPr="004E70CE" w:rsidP="004E70CE">
      <w:pPr>
        <w:pStyle w:val="ListBullet2"/>
      </w:pPr>
      <w:r w:rsidRPr="004E70CE">
        <w:t>pillar extraction</w:t>
      </w:r>
    </w:p>
    <w:p w:rsidR="00000000" w:rsidRPr="004E70CE" w:rsidP="004E70CE">
      <w:pPr>
        <w:pStyle w:val="ListBullet2"/>
      </w:pPr>
      <w:r w:rsidRPr="004E70CE">
        <w:t>partial extraction</w:t>
      </w:r>
    </w:p>
    <w:p w:rsidR="00000000" w:rsidRPr="004E70CE" w:rsidP="004E70CE">
      <w:pPr>
        <w:pStyle w:val="ListBullet2"/>
      </w:pPr>
      <w:r w:rsidRPr="004E70CE">
        <w:t>punch mining</w:t>
      </w:r>
    </w:p>
    <w:p w:rsidR="00000000" w:rsidRPr="004E70CE" w:rsidP="004E70CE">
      <w:pPr>
        <w:pStyle w:val="ListBullet2"/>
      </w:pPr>
      <w:r w:rsidRPr="004E70CE">
        <w:t>fault drivage</w:t>
      </w:r>
    </w:p>
    <w:p w:rsidR="00000000" w:rsidRPr="004E70CE" w:rsidP="004E70CE">
      <w:pPr>
        <w:pStyle w:val="ListBullet"/>
      </w:pPr>
      <w:r w:rsidRPr="004E70CE">
        <w:t>factors affecting stability of mining structures, including:</w:t>
      </w:r>
    </w:p>
    <w:p w:rsidR="00000000" w:rsidRPr="004E70CE" w:rsidP="004E70CE">
      <w:pPr>
        <w:pStyle w:val="ListBullet2"/>
      </w:pPr>
      <w:r w:rsidRPr="004E70CE">
        <w:t>stress analysis, including mining induced stress and topography</w:t>
      </w:r>
    </w:p>
    <w:p w:rsidR="00000000" w:rsidRPr="004E70CE" w:rsidP="004E70CE">
      <w:pPr>
        <w:pStyle w:val="ListBullet2"/>
      </w:pPr>
      <w:r w:rsidRPr="004E70CE">
        <w:t xml:space="preserve">sedimentology, including: </w:t>
      </w:r>
    </w:p>
    <w:p w:rsidR="00000000" w:rsidRPr="004E70CE" w:rsidP="004E70CE">
      <w:pPr>
        <w:pStyle w:val="ListBullet3"/>
      </w:pPr>
      <w:r w:rsidRPr="004E70CE">
        <w:t>subsidence</w:t>
      </w:r>
    </w:p>
    <w:p w:rsidR="00000000" w:rsidRPr="004E70CE" w:rsidP="004E70CE">
      <w:pPr>
        <w:pStyle w:val="ListBullet3"/>
      </w:pPr>
      <w:r w:rsidRPr="004E70CE">
        <w:t>water bearing strata</w:t>
      </w:r>
    </w:p>
    <w:p w:rsidR="00000000" w:rsidRPr="004E70CE" w:rsidP="004E70CE">
      <w:pPr>
        <w:pStyle w:val="ListBullet3"/>
      </w:pPr>
      <w:r w:rsidRPr="004E70CE">
        <w:t>permeability of seam and strata</w:t>
      </w:r>
    </w:p>
    <w:p w:rsidR="00000000" w:rsidRPr="004E70CE" w:rsidP="004E70CE">
      <w:pPr>
        <w:pStyle w:val="ListBullet3"/>
      </w:pPr>
      <w:r w:rsidRPr="004E70CE">
        <w:t>hydrology</w:t>
      </w:r>
    </w:p>
    <w:p w:rsidR="00000000" w:rsidRPr="004E70CE" w:rsidP="004E70CE">
      <w:pPr>
        <w:pStyle w:val="ListBullet3"/>
      </w:pPr>
      <w:r w:rsidRPr="004E70CE">
        <w:t>hydrogeology</w:t>
      </w:r>
    </w:p>
    <w:p w:rsidR="00000000" w:rsidRPr="004E70CE" w:rsidP="004E70CE">
      <w:pPr>
        <w:pStyle w:val="ListBullet3"/>
      </w:pPr>
      <w:r w:rsidRPr="004E70CE">
        <w:t>physical property testing</w:t>
      </w:r>
    </w:p>
    <w:p w:rsidR="00000000" w:rsidRPr="004E70CE" w:rsidP="004E70CE">
      <w:pPr>
        <w:pStyle w:val="ListBullet3"/>
      </w:pPr>
      <w:r w:rsidRPr="004E70CE">
        <w:t>caving characteristics</w:t>
      </w:r>
    </w:p>
    <w:p w:rsidR="00000000" w:rsidRPr="004E70CE" w:rsidP="004E70CE">
      <w:pPr>
        <w:pStyle w:val="ListBullet3"/>
      </w:pPr>
      <w:r w:rsidRPr="004E70CE">
        <w:t>outburst</w:t>
      </w:r>
    </w:p>
    <w:p w:rsidR="00000000" w:rsidRPr="004E70CE" w:rsidP="004E70CE">
      <w:pPr>
        <w:pStyle w:val="ListBullet3"/>
      </w:pPr>
      <w:r w:rsidRPr="004E70CE">
        <w:t>over and underlying strata</w:t>
      </w:r>
    </w:p>
    <w:p w:rsidR="00000000" w:rsidRPr="004E70CE" w:rsidP="004E70CE">
      <w:pPr>
        <w:pStyle w:val="ListBullet2"/>
      </w:pPr>
      <w:r w:rsidRPr="004E70CE">
        <w:t>mining structure failure modes</w:t>
      </w:r>
    </w:p>
    <w:p w:rsidR="00000000" w:rsidRPr="004E70CE" w:rsidP="004E70CE">
      <w:pPr>
        <w:pStyle w:val="ListBullet"/>
      </w:pPr>
      <w:r w:rsidRPr="004E70CE">
        <w:t>systems of work and their impact on inrush management, including:</w:t>
      </w:r>
    </w:p>
    <w:p w:rsidR="00000000" w:rsidRPr="004E70CE" w:rsidP="004E70CE">
      <w:pPr>
        <w:pStyle w:val="ListBullet2"/>
      </w:pPr>
      <w:r w:rsidRPr="004E70CE">
        <w:t>bord and pillar</w:t>
      </w:r>
    </w:p>
    <w:p w:rsidR="00000000" w:rsidRPr="004E70CE" w:rsidP="004E70CE">
      <w:pPr>
        <w:pStyle w:val="ListBullet2"/>
      </w:pPr>
      <w:r w:rsidRPr="004E70CE">
        <w:t>place changing</w:t>
      </w:r>
    </w:p>
    <w:p w:rsidR="00000000" w:rsidRPr="004E70CE" w:rsidP="004E70CE">
      <w:pPr>
        <w:pStyle w:val="ListBullet2"/>
      </w:pPr>
      <w:r w:rsidRPr="004E70CE">
        <w:t>longwall</w:t>
      </w:r>
    </w:p>
    <w:p w:rsidR="00000000" w:rsidRPr="004E70CE" w:rsidP="004E70CE">
      <w:pPr>
        <w:pStyle w:val="ListBullet2"/>
      </w:pPr>
      <w:r w:rsidRPr="004E70CE">
        <w:t>highwall</w:t>
      </w:r>
    </w:p>
    <w:p w:rsidR="00000000" w:rsidRPr="004E70CE" w:rsidP="004E70CE">
      <w:pPr>
        <w:pStyle w:val="ListBullet2"/>
      </w:pPr>
      <w:r w:rsidRPr="004E70CE">
        <w:t>auger mining</w:t>
      </w:r>
    </w:p>
    <w:p w:rsidR="00000000" w:rsidRPr="004E70CE" w:rsidP="004E70CE">
      <w:pPr>
        <w:pStyle w:val="ListBullet2"/>
      </w:pPr>
      <w:r w:rsidRPr="004E70CE">
        <w:t>pillar extraction</w:t>
      </w:r>
    </w:p>
    <w:p w:rsidR="00000000" w:rsidRPr="004E70CE" w:rsidP="004E70CE">
      <w:pPr>
        <w:pStyle w:val="ListBullet2"/>
      </w:pPr>
      <w:r w:rsidRPr="004E70CE">
        <w:t>partial extraction</w:t>
      </w:r>
    </w:p>
    <w:p w:rsidR="00000000" w:rsidRPr="004E70CE" w:rsidP="004E70CE">
      <w:pPr>
        <w:pStyle w:val="ListBullet2"/>
      </w:pPr>
      <w:r w:rsidRPr="004E70CE">
        <w:t>punch mining</w:t>
      </w:r>
    </w:p>
    <w:p w:rsidR="00000000" w:rsidRPr="004E70CE" w:rsidP="004E70CE">
      <w:pPr>
        <w:pStyle w:val="ListBullet"/>
      </w:pPr>
      <w:r w:rsidRPr="004E70CE">
        <w:t>mining and general engineering principles relating to the behaviour of excavations in rock and coal, including:</w:t>
      </w:r>
    </w:p>
    <w:p w:rsidR="00000000" w:rsidRPr="004E70CE" w:rsidP="004E70CE">
      <w:pPr>
        <w:pStyle w:val="ListBullet2"/>
      </w:pPr>
      <w:r w:rsidRPr="004E70CE">
        <w:t>audit methodologies</w:t>
      </w:r>
    </w:p>
    <w:p w:rsidR="00000000" w:rsidRPr="004E70CE" w:rsidP="004E70CE">
      <w:pPr>
        <w:pStyle w:val="ListBullet2"/>
      </w:pPr>
      <w:r w:rsidRPr="004E70CE">
        <w:t>mine mapping of inrush zones, related geology and features</w:t>
      </w:r>
    </w:p>
    <w:p w:rsidR="00000000" w:rsidRPr="004E70CE" w:rsidP="004E70CE">
      <w:pPr>
        <w:pStyle w:val="ListBullet"/>
      </w:pPr>
      <w:r w:rsidRPr="004E70CE">
        <w:t>differing geological features and conditions on inrush zones, including:</w:t>
      </w:r>
    </w:p>
    <w:p w:rsidR="00000000" w:rsidRPr="004E70CE" w:rsidP="004E70CE">
      <w:pPr>
        <w:pStyle w:val="ListBullet2"/>
      </w:pPr>
      <w:r w:rsidRPr="004E70CE">
        <w:t>effects of coal seam characteristics on inrush</w:t>
      </w:r>
    </w:p>
    <w:p w:rsidR="00000000" w:rsidRPr="004E70CE" w:rsidP="004E70CE">
      <w:pPr>
        <w:pStyle w:val="ListBullet2"/>
      </w:pPr>
      <w:r w:rsidRPr="004E70CE">
        <w:t>faults</w:t>
      </w:r>
    </w:p>
    <w:p w:rsidR="00000000" w:rsidRPr="004E70CE" w:rsidP="004E70CE">
      <w:pPr>
        <w:pStyle w:val="ListBullet2"/>
      </w:pPr>
      <w:r w:rsidRPr="004E70CE">
        <w:t>dykes</w:t>
      </w:r>
    </w:p>
    <w:p w:rsidR="00000000" w:rsidRPr="004E70CE" w:rsidP="004E70CE">
      <w:pPr>
        <w:pStyle w:val="ListBullet2"/>
      </w:pPr>
      <w:r w:rsidRPr="004E70CE">
        <w:t>intrusions</w:t>
      </w:r>
    </w:p>
    <w:p w:rsidR="00000000" w:rsidRPr="004E70CE" w:rsidP="004E70CE">
      <w:pPr>
        <w:pStyle w:val="ListBullet2"/>
      </w:pPr>
      <w:r w:rsidRPr="004E70CE">
        <w:t>strata deformities</w:t>
      </w:r>
    </w:p>
    <w:p w:rsidR="00000000" w:rsidRPr="004E70CE" w:rsidP="004E70CE">
      <w:pPr>
        <w:pStyle w:val="ListBullet"/>
      </w:pPr>
      <w:r w:rsidRPr="004E70CE">
        <w:t>monitoring systems and techniques, including:</w:t>
      </w:r>
    </w:p>
    <w:p w:rsidR="00000000" w:rsidRPr="004E70CE" w:rsidP="004E70CE">
      <w:pPr>
        <w:pStyle w:val="ListBullet2"/>
      </w:pPr>
      <w:r w:rsidRPr="004E70CE">
        <w:t>types of fixed monitoring systems, including:</w:t>
      </w:r>
    </w:p>
    <w:p w:rsidR="00000000" w:rsidRPr="004E70CE" w:rsidP="004E70CE">
      <w:pPr>
        <w:pStyle w:val="ListBullet3"/>
      </w:pPr>
      <w:r w:rsidRPr="004E70CE">
        <w:t>uses and limitations</w:t>
      </w:r>
    </w:p>
    <w:p w:rsidR="00000000" w:rsidRPr="004E70CE" w:rsidP="004E70CE">
      <w:pPr>
        <w:pStyle w:val="ListBullet3"/>
      </w:pPr>
      <w:r w:rsidRPr="004E70CE">
        <w:t>design criteria</w:t>
      </w:r>
    </w:p>
    <w:p w:rsidR="00000000" w:rsidRPr="004E70CE" w:rsidP="004E70CE">
      <w:pPr>
        <w:pStyle w:val="ListBullet3"/>
      </w:pPr>
      <w:r w:rsidRPr="004E70CE">
        <w:t>specifications</w:t>
      </w:r>
    </w:p>
    <w:p w:rsidR="00000000" w:rsidRPr="004E70CE" w:rsidP="004E70CE">
      <w:pPr>
        <w:pStyle w:val="ListBullet3"/>
      </w:pPr>
      <w:r w:rsidRPr="004E70CE">
        <w:t>design processes</w:t>
      </w:r>
    </w:p>
    <w:p w:rsidR="00000000" w:rsidRPr="004E70CE" w:rsidP="004E70CE">
      <w:pPr>
        <w:pStyle w:val="ListBullet2"/>
      </w:pPr>
      <w:r w:rsidRPr="004E70CE">
        <w:t>types, uses and limitations of portable monitoring equipment</w:t>
      </w:r>
    </w:p>
    <w:p w:rsidR="00000000" w:rsidRPr="004E70CE" w:rsidP="004E70CE">
      <w:pPr>
        <w:pStyle w:val="ListBullet2"/>
      </w:pPr>
      <w:r w:rsidRPr="004E70CE">
        <w:t>uses of simulation techniques and computer-based systems for real</w:t>
      </w:r>
      <w:r w:rsidRPr="004E70CE">
        <w:noBreakHyphen/>
      </w:r>
      <w:r w:rsidRPr="004E70CE">
        <w:t>time monitoring and their applications to inrush management</w:t>
      </w:r>
    </w:p>
    <w:p w:rsidR="00000000" w:rsidRPr="004E70CE" w:rsidP="004E70CE">
      <w:pPr>
        <w:pStyle w:val="ListBullet2"/>
      </w:pPr>
      <w:r w:rsidRPr="004E70CE">
        <w:t>types, uses and limitations of inrush control methods</w:t>
      </w:r>
    </w:p>
    <w:p w:rsidR="00000000" w:rsidRPr="004E70CE" w:rsidP="004E70CE">
      <w:pPr>
        <w:pStyle w:val="ListBullet2"/>
      </w:pPr>
      <w:r w:rsidRPr="004E70CE">
        <w:t>types, uses and limitations of inrush control zones</w:t>
      </w:r>
    </w:p>
    <w:p w:rsidR="00000000" w:rsidRPr="004E70CE" w:rsidP="004E70CE">
      <w:pPr>
        <w:pStyle w:val="ListBullet2"/>
      </w:pPr>
      <w:r w:rsidRPr="004E70CE">
        <w:t>processes and techniques for determining alarms and trigger points and levels</w:t>
      </w:r>
    </w:p>
    <w:p w:rsidR="00000000" w:rsidRPr="004E70CE" w:rsidP="004E70CE">
      <w:pPr>
        <w:pStyle w:val="ListBullet"/>
      </w:pPr>
      <w:r w:rsidRPr="004E70CE">
        <w:t xml:space="preserve">techniques </w:t>
      </w:r>
      <w:r w:rsidRPr="004E70CE">
        <w:t>for identifying individual training needs</w:t>
      </w:r>
    </w:p>
    <w:p w:rsidR="00000000" w:rsidRPr="004E70CE" w:rsidP="004E70CE">
      <w:pPr>
        <w:pStyle w:val="ListBullet"/>
      </w:pPr>
      <w:r w:rsidRPr="004E70CE">
        <w:t>principles, processes and techniques for emergency response, evacuation and disaster planning</w:t>
      </w:r>
    </w:p>
    <w:p w:rsidR="00000000" w:rsidRPr="004E70CE" w:rsidP="004E70CE">
      <w:pPr>
        <w:pStyle w:val="ListBullet"/>
      </w:pPr>
      <w:r w:rsidRPr="004E70CE">
        <w:t>techniques for leading and coordinating work activities with others.</w:t>
      </w:r>
    </w:p>
    <w:p w:rsidR="00000000" w:rsidRPr="004E70CE" w:rsidP="004E70CE">
      <w:pPr>
        <w:pStyle w:val="AllowPageBreak"/>
      </w:pPr>
    </w:p>
    <w:p w:rsidR="00000000" w:rsidRPr="004E70CE" w:rsidP="004E70CE">
      <w:pPr>
        <w:pStyle w:val="Heading1"/>
      </w:pPr>
      <w:bookmarkStart w:id="4" w:name="O_1108537"/>
      <w:bookmarkEnd w:id="4"/>
      <w:r w:rsidRPr="004E70CE">
        <w:t>Assessment Conditions</w:t>
      </w:r>
    </w:p>
    <w:p w:rsidR="00000000" w:rsidRPr="004E70CE" w:rsidP="00474455">
      <w:pPr>
        <w:pStyle w:val="BodyText"/>
      </w:pPr>
      <w:r w:rsidRPr="004E70CE">
        <w:t>Mandatory conditions for assessment of this unit are stipulated below. The assessment must:</w:t>
      </w:r>
    </w:p>
    <w:p w:rsidR="00000000" w:rsidRPr="004E70CE" w:rsidP="004E70CE">
      <w:pPr>
        <w:pStyle w:val="ListBullet"/>
      </w:pPr>
      <w:r w:rsidRPr="004E70CE">
        <w:t>include access to:</w:t>
      </w:r>
    </w:p>
    <w:p w:rsidR="00000000" w:rsidRPr="004E70CE" w:rsidP="004E70CE">
      <w:pPr>
        <w:pStyle w:val="ListBullet2"/>
      </w:pPr>
      <w:r w:rsidRPr="004E70CE">
        <w:t>inrush management plan</w:t>
      </w:r>
    </w:p>
    <w:p w:rsidR="00000000" w:rsidRPr="004E70CE" w:rsidP="004E70CE">
      <w:pPr>
        <w:pStyle w:val="ListBullet"/>
      </w:pPr>
      <w:r w:rsidRPr="004E70CE">
        <w:t xml:space="preserve">be conducted in a safe environment; and, </w:t>
      </w:r>
    </w:p>
    <w:p w:rsidR="00000000" w:rsidRPr="004E70CE" w:rsidP="004E70CE">
      <w:pPr>
        <w:pStyle w:val="ListBullet"/>
      </w:pPr>
      <w:r w:rsidRPr="004E70CE">
        <w:t>be assessed in the context of this sector</w:t>
      </w:r>
      <w:r>
        <w:t>’</w:t>
      </w:r>
      <w:r w:rsidRPr="004E70CE">
        <w:t xml:space="preserve">s work environment; and, </w:t>
      </w:r>
    </w:p>
    <w:p w:rsidR="00000000" w:rsidRPr="004E70CE" w:rsidP="004E70CE">
      <w:pPr>
        <w:pStyle w:val="ListBullet"/>
      </w:pPr>
      <w:r w:rsidRPr="004E70CE">
        <w:t>be assess</w:t>
      </w:r>
      <w:r w:rsidRPr="004E70CE">
        <w:t>ed in compliance with relevant legislation/regulation and using policies, procedures and processes directly related to the industry sector for which it is being assessed; and,</w:t>
      </w:r>
    </w:p>
    <w:p w:rsidR="00000000" w:rsidRPr="004E70CE" w:rsidP="004E70CE">
      <w:pPr>
        <w:pStyle w:val="ListBullet"/>
      </w:pPr>
      <w:r w:rsidRPr="004E70CE">
        <w:t>confirm consistent performance can be applied in a range of relevant workplace c</w:t>
      </w:r>
      <w:r w:rsidRPr="004E70CE">
        <w:t>ircumstances.</w:t>
      </w:r>
    </w:p>
    <w:p w:rsidR="00000000" w:rsidRPr="004E70CE" w:rsidP="00474455">
      <w:pPr>
        <w:pStyle w:val="BodyText"/>
      </w:pPr>
      <w:r w:rsidRPr="004E70CE">
        <w:t>Where personal safety or environmental damage are limiting factors, assessment may occur in a simulated work environment* provided it is realistic and sufficiently rigorous to cover all aspects of this sector’s workplace performance, includin</w:t>
      </w:r>
      <w:r w:rsidRPr="004E70CE">
        <w:t>g environment, task skills, task management skills, contingency management skills and job role environment skills.</w:t>
      </w:r>
    </w:p>
    <w:p w:rsidR="00000000" w:rsidRPr="004E70CE" w:rsidP="004E70CE">
      <w:pPr>
        <w:pStyle w:val="BodyTextBold"/>
      </w:pPr>
      <w:r w:rsidRPr="004E70CE">
        <w:t>Assessor requirements</w:t>
      </w:r>
    </w:p>
    <w:p w:rsidR="00000000" w:rsidRPr="004E70CE" w:rsidP="00474455">
      <w:pPr>
        <w:pStyle w:val="BodyText"/>
      </w:pPr>
      <w:r w:rsidRPr="004E70CE">
        <w:t>Assessors must be able to clearly demonstrate current and relevant industry kn</w:t>
      </w:r>
      <w:r w:rsidRPr="004E70CE">
        <w:t xml:space="preserve">owledge and experience to satisfy the mandatory regulatory standards as set out in the Standards for Registered Training Organisations (RTOs) 2015/Australian Quality Training Framework mandatory requirements for assessors current at the time of assessment </w:t>
      </w:r>
      <w:r w:rsidRPr="004E70CE">
        <w:t>and any relevant licensing and certification requirements. This includes:</w:t>
      </w:r>
    </w:p>
    <w:p w:rsidR="00000000" w:rsidRPr="004E70CE" w:rsidP="004E70CE">
      <w:pPr>
        <w:pStyle w:val="ListBullet"/>
      </w:pPr>
      <w:r w:rsidRPr="004E70CE">
        <w:t>vocational competencies at least to the level being delivered and assessed</w:t>
      </w:r>
    </w:p>
    <w:p w:rsidR="00000000" w:rsidRPr="004E70CE" w:rsidP="004E70CE">
      <w:pPr>
        <w:pStyle w:val="ListBullet"/>
      </w:pPr>
      <w:r w:rsidRPr="004E70CE">
        <w:t>current industry skills directly relevant to the training and assessment being provided</w:t>
      </w:r>
    </w:p>
    <w:p w:rsidR="00000000" w:rsidRPr="004E70CE" w:rsidP="004E70CE">
      <w:pPr>
        <w:pStyle w:val="ListBullet"/>
      </w:pPr>
      <w:r w:rsidRPr="004E70CE">
        <w:t xml:space="preserve">current knowledge </w:t>
      </w:r>
      <w:r w:rsidRPr="004E70CE">
        <w:t>and skills in vocational training and learning that informs their training and assessment</w:t>
      </w:r>
    </w:p>
    <w:p w:rsidR="00000000" w:rsidRPr="004E70CE" w:rsidP="004E70CE">
      <w:pPr>
        <w:pStyle w:val="ListBullet"/>
      </w:pPr>
      <w:r w:rsidRPr="004E70CE">
        <w:t>formal relevant qualifications in training and assessment</w:t>
      </w:r>
    </w:p>
    <w:p w:rsidR="00000000" w:rsidRPr="004E70CE" w:rsidP="004E70CE">
      <w:pPr>
        <w:pStyle w:val="ListBullet"/>
      </w:pPr>
      <w:r w:rsidRPr="004E70CE">
        <w:t xml:space="preserve">having knowledge of and/or experience using the latest techniques and processes </w:t>
      </w:r>
    </w:p>
    <w:p w:rsidR="00000000" w:rsidRPr="004E70CE" w:rsidP="004E70CE">
      <w:pPr>
        <w:pStyle w:val="ListBullet"/>
      </w:pPr>
      <w:r w:rsidRPr="004E70CE">
        <w:t>possessing the required lev</w:t>
      </w:r>
      <w:r w:rsidRPr="004E70CE">
        <w:t>el of RII training product knowledge</w:t>
      </w:r>
    </w:p>
    <w:p w:rsidR="00000000" w:rsidRPr="004E70CE" w:rsidP="004E70CE">
      <w:pPr>
        <w:pStyle w:val="ListBullet"/>
      </w:pPr>
      <w:r w:rsidRPr="004E70CE">
        <w:t>having an understanding and knowledge of legislation and regulations relevant to the industry and to employment and workplaces</w:t>
      </w:r>
    </w:p>
    <w:p w:rsidR="00000000" w:rsidRPr="004E70CE" w:rsidP="004E70CE">
      <w:pPr>
        <w:pStyle w:val="ListBullet"/>
      </w:pPr>
      <w:r w:rsidRPr="004E70CE">
        <w:t>demonstrating the performance evidence, and knowledge evidence outlined in this unit of comp</w:t>
      </w:r>
      <w:r w:rsidRPr="004E70CE">
        <w:t>etency, and</w:t>
      </w:r>
    </w:p>
    <w:p w:rsidR="00000000" w:rsidRPr="004E70CE" w:rsidP="004E70CE">
      <w:pPr>
        <w:pStyle w:val="ListBullet"/>
      </w:pPr>
      <w:r w:rsidRPr="004E70CE">
        <w:t>the minimum years of current** work experience after competency has been obtained as specified below in an industry sector relevant to the outcomes of the unit.</w:t>
      </w:r>
    </w:p>
    <w:p w:rsidR="00000000" w:rsidRPr="004E70CE" w:rsidP="00474455">
      <w:pPr>
        <w:pStyle w:val="BodyText"/>
      </w:pPr>
      <w:r w:rsidRPr="004E70CE">
        <w:t>It is also acceptable for the appropriately qualified assessor to work with an indu</w:t>
      </w:r>
      <w:r w:rsidRPr="004E70CE">
        <w:t>stry expert to conduct assessment together and for the industry expert to be involved in the assessment judgement. The industry expert must have current industry skills directly relevant to the training and assessment being provided. This means the industr</w:t>
      </w:r>
      <w:r w:rsidRPr="004E70CE">
        <w:t>y subject matter expert must demonstrate skills and knowledge from the minimum years of current work experience after competency has been obtained as specified below, including time spent in roles related to the unit being assessed:</w:t>
      </w:r>
    </w:p>
    <w:tbl>
      <w:tblPr>
        <w:tblW w:w="9568" w:type="dxa"/>
        <w:tblLayout w:type="fixed"/>
        <w:tblCellMar>
          <w:left w:w="62" w:type="dxa"/>
          <w:right w:w="62" w:type="dxa"/>
        </w:tblCellMar>
        <w:tblLook w:val="0000"/>
      </w:tblPr>
      <w:tblGrid>
        <w:gridCol w:w="4505"/>
        <w:gridCol w:w="1687"/>
        <w:gridCol w:w="3376"/>
      </w:tblGrid>
      <w:tr w:rsidTr="004E70CE">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E70CE" w:rsidP="004E70CE">
            <w:pPr>
              <w:pStyle w:val="BodyText"/>
            </w:pPr>
            <w:r w:rsidRPr="004E70CE">
              <w:rPr>
                <w:rStyle w:val="SpecialBold"/>
              </w:rPr>
              <w:t>Industry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E70CE" w:rsidP="004E70CE">
            <w:pPr>
              <w:pStyle w:val="BodyText"/>
            </w:pPr>
            <w:r w:rsidRPr="004E70CE">
              <w:rPr>
                <w:rStyle w:val="SpecialBold"/>
              </w:rPr>
              <w:t>AQF ind</w:t>
            </w:r>
            <w:r w:rsidRPr="004E70CE">
              <w:rPr>
                <w:rStyle w:val="SpecialBold"/>
              </w:rPr>
              <w:t>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70CE">
            <w:pPr>
              <w:pStyle w:val="BodyText"/>
              <w:rPr>
                <w:lang w:val="en-NZ"/>
              </w:rPr>
            </w:pPr>
            <w:r w:rsidRPr="004E70CE">
              <w:rPr>
                <w:rStyle w:val="SpecialBold"/>
              </w:rPr>
              <w:t>Required assessor or industry subject matter expert experience</w:t>
            </w:r>
          </w:p>
        </w:tc>
      </w:tr>
      <w:tr w:rsidTr="004E70CE">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70CE">
            <w:pPr>
              <w:pStyle w:val="BodyText"/>
              <w:rPr>
                <w:lang w:val="en-NZ"/>
              </w:rPr>
            </w:pPr>
            <w:r w:rsidRPr="004E70CE">
              <w:t>Drilling, Metalliferous Mining, Coal Mining, Extractive (Quarrying) 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70CE">
            <w:pPr>
              <w:pStyle w:val="BodyText"/>
              <w:rPr>
                <w:lang w:val="en-NZ"/>
              </w:rPr>
            </w:pPr>
            <w:r w:rsidRPr="004E70CE">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70CE">
            <w:pPr>
              <w:pStyle w:val="BodyText"/>
              <w:rPr>
                <w:lang w:val="en-NZ"/>
              </w:rPr>
            </w:pPr>
            <w:r w:rsidRPr="004E70CE">
              <w:t>1 year</w:t>
            </w:r>
          </w:p>
        </w:tc>
      </w:tr>
      <w:tr w:rsidTr="004E70CE">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70CE">
            <w:pPr>
              <w:pStyle w:val="BodyText"/>
              <w:rPr>
                <w:lang w:val="en-NZ"/>
              </w:rPr>
            </w:pPr>
            <w:r w:rsidRPr="004E70CE">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70CE">
            <w:pPr>
              <w:pStyle w:val="BodyText"/>
              <w:rPr>
                <w:lang w:val="en-NZ"/>
              </w:rPr>
            </w:pPr>
            <w:r w:rsidRPr="004E70CE">
              <w:t>2 years</w:t>
            </w:r>
          </w:p>
        </w:tc>
      </w:tr>
      <w:tr w:rsidTr="004E70CE">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70CE">
            <w:pPr>
              <w:pStyle w:val="BodyText"/>
              <w:rPr>
                <w:lang w:val="en-NZ"/>
              </w:rPr>
            </w:pPr>
            <w:r w:rsidRPr="004E70CE">
              <w:t>Drilling, Coal Mining, Extractive (Qua</w:t>
            </w:r>
            <w:r w:rsidRPr="004E70CE">
              <w:t xml:space="preserve">rrying), Metalliferous Mining and Civil Infrastructure </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70CE">
            <w:pPr>
              <w:pStyle w:val="BodyText"/>
              <w:rPr>
                <w:lang w:val="en-NZ"/>
              </w:rPr>
            </w:pPr>
            <w:r w:rsidRPr="004E70CE">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70CE">
            <w:pPr>
              <w:pStyle w:val="BodyText"/>
              <w:rPr>
                <w:lang w:val="en-NZ"/>
              </w:rPr>
            </w:pPr>
            <w:r w:rsidRPr="004E70CE">
              <w:t>3 years</w:t>
            </w:r>
          </w:p>
        </w:tc>
      </w:tr>
      <w:tr w:rsidTr="004E70CE">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70CE">
            <w:pPr>
              <w:pStyle w:val="BodyText"/>
              <w:rPr>
                <w:lang w:val="en-NZ"/>
              </w:rPr>
            </w:pPr>
            <w:r w:rsidRPr="004E70CE">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E70CE" w:rsidP="004E70CE">
            <w:pPr>
              <w:pStyle w:val="BodyText"/>
            </w:pPr>
            <w:r w:rsidRPr="004E70CE">
              <w:t xml:space="preserve">Where this unit is being assessed outside of the resources and infrastructure sectors assessor and/or industry subject matter expert experience </w:t>
            </w:r>
            <w:r w:rsidRPr="004E70CE">
              <w:t>should be in-line with industry standards for the sector in which it is being assessed and where no industry standard is specified should comply with any relevant regulation.</w:t>
            </w:r>
          </w:p>
        </w:tc>
      </w:tr>
    </w:tbl>
    <w:p w:rsidR="00000000" w:rsidRPr="004E70CE" w:rsidP="00474455">
      <w:pPr>
        <w:pStyle w:val="BodyText"/>
      </w:pPr>
      <w:r w:rsidRPr="004E70CE">
        <w:t>*Guidance on simulated environments has been stipulated in the Companion Volume</w:t>
      </w:r>
      <w:r w:rsidRPr="004E70CE">
        <w:t xml:space="preserve"> Implementation Guide located on VETNet.</w:t>
      </w:r>
    </w:p>
    <w:p w:rsidR="00000000" w:rsidRPr="004E70CE" w:rsidP="00474455">
      <w:pPr>
        <w:pStyle w:val="BodyText"/>
      </w:pPr>
      <w:r w:rsidRPr="004E70CE">
        <w:t>**Assessors can demonstrate current work experience through employment within industry in a role relevant to the outcomes of the unit; or, for external assessors this can be demonstrated through exposure to industry</w:t>
      </w:r>
      <w:r w:rsidRPr="004E70CE">
        <w:t xml:space="preserve"> by conducting a minimum number of site assessments as determined by the relevant industry sector, across various locations.</w:t>
      </w:r>
    </w:p>
    <w:p w:rsidR="00000000" w:rsidRPr="004E70CE" w:rsidP="00474455">
      <w:pPr>
        <w:pStyle w:val="BodyText"/>
      </w:pPr>
      <w:r w:rsidRPr="004E70CE">
        <w:t>*** While a unit of competency does not have an AQF level, where a unit is being delivered outside of a qualification the first num</w:t>
      </w:r>
      <w:r w:rsidRPr="004E70CE">
        <w:t>eric character in the unit code should be considered as the AQF indicator level for assessment purposes.</w:t>
      </w:r>
    </w:p>
    <w:p w:rsidR="00000000" w:rsidRPr="004E70CE" w:rsidP="004E70CE">
      <w:pPr>
        <w:pStyle w:val="Heading1"/>
      </w:pPr>
      <w:bookmarkStart w:id="5" w:name="O_1108535"/>
      <w:bookmarkEnd w:id="5"/>
      <w:r w:rsidRPr="004E70CE">
        <w:t>Links</w:t>
      </w:r>
    </w:p>
    <w:p w:rsidR="00000000" w:rsidRPr="004E70CE" w:rsidP="00474455">
      <w:pPr>
        <w:pStyle w:val="BodyText"/>
      </w:pPr>
      <w:r w:rsidRPr="004E70CE">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99261C">
        <w:rPr>
          <w:rStyle w:val="Hyperlink"/>
        </w:rPr>
        <w:t>https://vetnet.gov.au/Pages/TrainingDocs.aspx?q=88a61002-9a21-4386-aaf8-69c76e675272</w:t>
      </w:r>
      <w:r>
        <w:fldChar w:fldCharType="end"/>
      </w:r>
    </w:p>
    <w:p w:rsidR="00000000" w:rsidRPr="004E70CE" w:rsidP="004E70CE"/>
    <w:sectPr w:rsidSect="004E70C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0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0CE" w:rsidRPr="00474455" w:rsidP="004744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0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455" w:rsidP="004E70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74455" w:rsidP="004E70C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474455" w:rsidP="004E70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0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4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70CE" w:rsidRPr="00474455" w:rsidP="004744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0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455" w:rsidRPr="002D2AF8" w:rsidP="004E70CE">
    <w:pPr>
      <w:pStyle w:val="Header"/>
      <w:framePr w:wrap="around"/>
    </w:pPr>
    <w:r>
      <w:fldChar w:fldCharType="begin"/>
    </w:r>
    <w:r>
      <w:instrText xml:space="preserve"> TITLE   \* MERGEFORMAT </w:instrText>
    </w:r>
    <w:r>
      <w:fldChar w:fldCharType="separate"/>
    </w:r>
    <w:r>
      <w:t>Assessment Requirements for RIIMCU505E Implement the inrush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474455" w:rsidP="004E70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BCFB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5A432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0636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70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70CE"/>
    <w:pPr>
      <w:spacing w:before="360" w:after="60"/>
      <w:outlineLvl w:val="0"/>
    </w:pPr>
    <w:rPr>
      <w:sz w:val="32"/>
    </w:rPr>
  </w:style>
  <w:style w:type="paragraph" w:styleId="Heading2">
    <w:name w:val="heading 2"/>
    <w:basedOn w:val="HeadingBase"/>
    <w:next w:val="BodyText"/>
    <w:link w:val="Heading2Char"/>
    <w:qFormat/>
    <w:rsid w:val="004E70CE"/>
    <w:pPr>
      <w:keepLines/>
      <w:spacing w:before="240" w:after="120"/>
      <w:outlineLvl w:val="1"/>
    </w:pPr>
    <w:rPr>
      <w:sz w:val="28"/>
      <w:szCs w:val="40"/>
    </w:rPr>
  </w:style>
  <w:style w:type="paragraph" w:styleId="Heading3">
    <w:name w:val="heading 3"/>
    <w:basedOn w:val="HeadingBase"/>
    <w:next w:val="BodyText"/>
    <w:link w:val="Heading3Char"/>
    <w:qFormat/>
    <w:rsid w:val="004E70CE"/>
    <w:pPr>
      <w:spacing w:before="180" w:after="120"/>
      <w:outlineLvl w:val="2"/>
    </w:pPr>
    <w:rPr>
      <w:spacing w:val="-10"/>
      <w:kern w:val="32"/>
    </w:rPr>
  </w:style>
  <w:style w:type="paragraph" w:styleId="Heading4">
    <w:name w:val="heading 4"/>
    <w:basedOn w:val="HeadingBase"/>
    <w:next w:val="BodyText"/>
    <w:link w:val="Heading4Char"/>
    <w:qFormat/>
    <w:rsid w:val="004E70CE"/>
    <w:pPr>
      <w:spacing w:before="160" w:after="120"/>
      <w:outlineLvl w:val="3"/>
    </w:pPr>
    <w:rPr>
      <w:sz w:val="22"/>
    </w:rPr>
  </w:style>
  <w:style w:type="paragraph" w:styleId="Heading5">
    <w:name w:val="heading 5"/>
    <w:basedOn w:val="HeadingBase"/>
    <w:next w:val="Normal"/>
    <w:link w:val="Heading5Char"/>
    <w:qFormat/>
    <w:rsid w:val="004E70CE"/>
    <w:pPr>
      <w:spacing w:before="80"/>
      <w:outlineLvl w:val="4"/>
    </w:pPr>
    <w:rPr>
      <w:color w:val="918585"/>
      <w:sz w:val="20"/>
    </w:rPr>
  </w:style>
  <w:style w:type="paragraph" w:styleId="Heading6">
    <w:name w:val="heading 6"/>
    <w:basedOn w:val="HeadingBase"/>
    <w:next w:val="Normal"/>
    <w:link w:val="Heading6Char"/>
    <w:qFormat/>
    <w:rsid w:val="004E70CE"/>
    <w:pPr>
      <w:spacing w:before="60"/>
      <w:outlineLvl w:val="5"/>
    </w:pPr>
    <w:rPr>
      <w:color w:val="918585"/>
      <w:sz w:val="20"/>
    </w:rPr>
  </w:style>
  <w:style w:type="paragraph" w:styleId="Heading7">
    <w:name w:val="heading 7"/>
    <w:basedOn w:val="Normal"/>
    <w:next w:val="Normal"/>
    <w:link w:val="Heading7Char"/>
    <w:qFormat/>
    <w:rsid w:val="004E70CE"/>
    <w:pPr>
      <w:ind w:left="720"/>
      <w:outlineLvl w:val="6"/>
    </w:pPr>
    <w:rPr>
      <w:i/>
    </w:rPr>
  </w:style>
  <w:style w:type="paragraph" w:styleId="Heading8">
    <w:name w:val="heading 8"/>
    <w:basedOn w:val="Normal"/>
    <w:next w:val="Normal"/>
    <w:link w:val="Heading8Char"/>
    <w:qFormat/>
    <w:rsid w:val="004E70CE"/>
    <w:pPr>
      <w:ind w:left="720"/>
      <w:outlineLvl w:val="7"/>
    </w:pPr>
    <w:rPr>
      <w:i/>
    </w:rPr>
  </w:style>
  <w:style w:type="paragraph" w:styleId="Heading9">
    <w:name w:val="heading 9"/>
    <w:basedOn w:val="Normal"/>
    <w:next w:val="Normal"/>
    <w:link w:val="Heading9Char"/>
    <w:qFormat/>
    <w:rsid w:val="004E70CE"/>
    <w:pPr>
      <w:ind w:left="720"/>
      <w:outlineLvl w:val="8"/>
    </w:pPr>
    <w:rPr>
      <w:i/>
    </w:rPr>
  </w:style>
  <w:style w:type="character" w:default="1" w:styleId="DefaultParagraphFont">
    <w:name w:val="Default Paragraph Font"/>
    <w:uiPriority w:val="1"/>
    <w:unhideWhenUsed/>
    <w:rsid w:val="004E70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70CE"/>
  </w:style>
  <w:style w:type="character" w:customStyle="1" w:styleId="Heading1Char">
    <w:name w:val="Heading 1 Char"/>
    <w:basedOn w:val="DefaultParagraphFont"/>
    <w:link w:val="Heading1"/>
    <w:rsid w:val="004E70CE"/>
    <w:rPr>
      <w:rFonts w:ascii="Times New Roman" w:eastAsia="Times New Roman" w:hAnsi="Times New Roman" w:cs="Times New Roman"/>
      <w:b/>
      <w:sz w:val="32"/>
      <w:szCs w:val="20"/>
      <w:lang w:eastAsia="en-US"/>
    </w:rPr>
  </w:style>
  <w:style w:type="paragraph" w:styleId="BodyText">
    <w:name w:val="Body Text"/>
    <w:basedOn w:val="Normal"/>
    <w:link w:val="BodyTextChar"/>
    <w:rsid w:val="004E70C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70CE"/>
    <w:rPr>
      <w:rFonts w:ascii="Times New Roman" w:eastAsia="Times New Roman" w:hAnsi="Times New Roman" w:cs="Times New Roman"/>
      <w:sz w:val="24"/>
      <w:lang w:eastAsia="en-US"/>
    </w:rPr>
  </w:style>
  <w:style w:type="paragraph" w:styleId="List">
    <w:name w:val="List"/>
    <w:basedOn w:val="BodyText"/>
    <w:next w:val="BodyText"/>
    <w:rsid w:val="004E70CE"/>
    <w:pPr>
      <w:tabs>
        <w:tab w:val="left" w:pos="340"/>
      </w:tabs>
      <w:spacing w:before="60" w:after="60"/>
      <w:ind w:left="340" w:hanging="340"/>
    </w:pPr>
  </w:style>
  <w:style w:type="paragraph" w:styleId="ListBullet">
    <w:name w:val="List Bullet"/>
    <w:basedOn w:val="List"/>
    <w:rsid w:val="004E70CE"/>
    <w:pPr>
      <w:numPr>
        <w:numId w:val="13"/>
      </w:numPr>
      <w:tabs>
        <w:tab w:val="clear" w:pos="340"/>
      </w:tabs>
      <w:spacing w:before="40" w:after="40"/>
    </w:pPr>
  </w:style>
  <w:style w:type="character" w:customStyle="1" w:styleId="SpecialBold">
    <w:name w:val="Special Bold"/>
    <w:basedOn w:val="DefaultParagraphFont"/>
    <w:rsid w:val="004E70CE"/>
    <w:rPr>
      <w:b/>
      <w:spacing w:val="0"/>
    </w:rPr>
  </w:style>
  <w:style w:type="paragraph" w:styleId="ListBullet2">
    <w:name w:val="List Bullet 2"/>
    <w:basedOn w:val="List2"/>
    <w:rsid w:val="004E70CE"/>
    <w:pPr>
      <w:numPr>
        <w:numId w:val="14"/>
      </w:numPr>
      <w:tabs>
        <w:tab w:val="clear" w:pos="680"/>
      </w:tabs>
    </w:pPr>
  </w:style>
  <w:style w:type="paragraph" w:customStyle="1" w:styleId="SuperHeading">
    <w:name w:val="SuperHeading"/>
    <w:basedOn w:val="Normal"/>
    <w:rsid w:val="004E70CE"/>
    <w:pPr>
      <w:spacing w:before="240" w:after="120"/>
      <w:outlineLvl w:val="0"/>
    </w:pPr>
    <w:rPr>
      <w:rFonts w:ascii="Times New Roman" w:hAnsi="Times New Roman"/>
      <w:b/>
      <w:sz w:val="32"/>
    </w:rPr>
  </w:style>
  <w:style w:type="paragraph" w:customStyle="1" w:styleId="AllowPageBreak">
    <w:name w:val="AllowPageBreak"/>
    <w:rsid w:val="004E70C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E70CE"/>
    <w:pPr>
      <w:numPr>
        <w:numId w:val="3"/>
      </w:numPr>
      <w:tabs>
        <w:tab w:val="clear" w:pos="1021"/>
      </w:tabs>
      <w:ind w:left="1037" w:hanging="357"/>
    </w:pPr>
  </w:style>
  <w:style w:type="paragraph" w:customStyle="1" w:styleId="BodyTextBold">
    <w:name w:val="Body Text Bold"/>
    <w:basedOn w:val="BodyText"/>
    <w:qFormat/>
    <w:rsid w:val="004E70CE"/>
    <w:rPr>
      <w:b/>
    </w:rPr>
  </w:style>
  <w:style w:type="character" w:customStyle="1" w:styleId="Heading2Char">
    <w:name w:val="Heading 2 Char"/>
    <w:basedOn w:val="DefaultParagraphFont"/>
    <w:link w:val="Heading2"/>
    <w:rsid w:val="004E70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70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70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70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70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70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70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70CE"/>
    <w:rPr>
      <w:rFonts w:ascii="Courier New" w:eastAsia="Times New Roman" w:hAnsi="Courier New" w:cs="Times New Roman"/>
      <w:i/>
      <w:szCs w:val="20"/>
      <w:lang w:eastAsia="en-US"/>
    </w:rPr>
  </w:style>
  <w:style w:type="paragraph" w:customStyle="1" w:styleId="HeadingBase">
    <w:name w:val="Heading Base"/>
    <w:rsid w:val="004E70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70CE"/>
    <w:pPr>
      <w:tabs>
        <w:tab w:val="right" w:leader="dot" w:pos="9072"/>
      </w:tabs>
      <w:ind w:left="567"/>
    </w:pPr>
    <w:rPr>
      <w:szCs w:val="22"/>
    </w:rPr>
  </w:style>
  <w:style w:type="paragraph" w:customStyle="1" w:styleId="TOCBase">
    <w:name w:val="TOC Base"/>
    <w:rsid w:val="004E70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70CE"/>
    <w:pPr>
      <w:tabs>
        <w:tab w:val="right" w:leader="dot" w:pos="9072"/>
      </w:tabs>
      <w:spacing w:before="40" w:after="40"/>
      <w:ind w:left="284"/>
    </w:pPr>
    <w:rPr>
      <w:rFonts w:ascii="Times New Roman" w:hAnsi="Times New Roman"/>
    </w:rPr>
  </w:style>
  <w:style w:type="paragraph" w:styleId="TOC1">
    <w:name w:val="toc 1"/>
    <w:basedOn w:val="TOCBase"/>
    <w:next w:val="Normal"/>
    <w:rsid w:val="004E70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70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70CE"/>
    <w:rPr>
      <w:rFonts w:ascii="Times New Roman" w:eastAsia="Times New Roman" w:hAnsi="Times New Roman" w:cs="Times New Roman"/>
      <w:sz w:val="16"/>
      <w:lang w:eastAsia="en-US"/>
    </w:rPr>
  </w:style>
  <w:style w:type="paragraph" w:styleId="Title">
    <w:name w:val="Title"/>
    <w:basedOn w:val="HeadingBase"/>
    <w:link w:val="TitleChar"/>
    <w:qFormat/>
    <w:rsid w:val="004E70CE"/>
    <w:pPr>
      <w:spacing w:before="5040"/>
      <w:jc w:val="center"/>
    </w:pPr>
    <w:rPr>
      <w:sz w:val="48"/>
      <w:szCs w:val="72"/>
      <w:lang w:val="en-US"/>
    </w:rPr>
  </w:style>
  <w:style w:type="character" w:customStyle="1" w:styleId="TitleChar">
    <w:name w:val="Title Char"/>
    <w:basedOn w:val="DefaultParagraphFont"/>
    <w:link w:val="Title"/>
    <w:rsid w:val="004E70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70CE"/>
    <w:pPr>
      <w:tabs>
        <w:tab w:val="left" w:pos="3600"/>
        <w:tab w:val="left" w:pos="3958"/>
      </w:tabs>
    </w:pPr>
  </w:style>
  <w:style w:type="paragraph" w:customStyle="1" w:styleId="Note">
    <w:name w:val="Note"/>
    <w:basedOn w:val="BodyText"/>
    <w:rsid w:val="004E70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70CE"/>
    <w:pPr>
      <w:framePr w:wrap="auto" w:hAnchor="text" w:y="6049"/>
    </w:pPr>
    <w:rPr>
      <w:color w:val="000000"/>
      <w:sz w:val="40"/>
    </w:rPr>
  </w:style>
  <w:style w:type="paragraph" w:customStyle="1" w:styleId="TOCTitle">
    <w:name w:val="TOCTitle"/>
    <w:basedOn w:val="Heading1"/>
    <w:rsid w:val="004E70CE"/>
    <w:pPr>
      <w:spacing w:after="240"/>
      <w:jc w:val="center"/>
      <w:outlineLvl w:val="9"/>
    </w:pPr>
    <w:rPr>
      <w:caps/>
    </w:rPr>
  </w:style>
  <w:style w:type="paragraph" w:customStyle="1" w:styleId="Version">
    <w:name w:val="Version"/>
    <w:rsid w:val="004E70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70CE"/>
    <w:pPr>
      <w:keepNext w:val="0"/>
      <w:tabs>
        <w:tab w:val="right" w:pos="4176"/>
      </w:tabs>
      <w:ind w:left="198" w:hanging="198"/>
    </w:pPr>
    <w:rPr>
      <w:rFonts w:ascii="Garamond" w:hAnsi="Garamond"/>
    </w:rPr>
  </w:style>
  <w:style w:type="paragraph" w:styleId="IndexHeading">
    <w:name w:val="index heading"/>
    <w:basedOn w:val="Normal"/>
    <w:next w:val="Index1"/>
    <w:semiHidden/>
    <w:rsid w:val="004E70CE"/>
    <w:pPr>
      <w:spacing w:before="120" w:after="120"/>
    </w:pPr>
    <w:rPr>
      <w:rFonts w:ascii="Arial" w:hAnsi="Arial"/>
      <w:b/>
      <w:color w:val="918585"/>
      <w:sz w:val="24"/>
    </w:rPr>
  </w:style>
  <w:style w:type="paragraph" w:styleId="Header">
    <w:name w:val="header"/>
    <w:basedOn w:val="Normal"/>
    <w:link w:val="HeaderChar"/>
    <w:rsid w:val="004E70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70CE"/>
    <w:rPr>
      <w:rFonts w:ascii="Times New Roman" w:eastAsia="Times New Roman" w:hAnsi="Times New Roman" w:cs="Times New Roman"/>
      <w:sz w:val="16"/>
      <w:szCs w:val="20"/>
      <w:lang w:val="en-GB" w:eastAsia="en-US"/>
    </w:rPr>
  </w:style>
  <w:style w:type="paragraph" w:customStyle="1" w:styleId="Chapter">
    <w:name w:val="Chapter"/>
    <w:basedOn w:val="Normal"/>
    <w:rsid w:val="004E70CE"/>
    <w:pPr>
      <w:spacing w:before="240"/>
    </w:pPr>
    <w:rPr>
      <w:rFonts w:ascii="Times New Roman" w:hAnsi="Times New Roman"/>
      <w:smallCaps/>
      <w:spacing w:val="80"/>
      <w:sz w:val="28"/>
    </w:rPr>
  </w:style>
  <w:style w:type="paragraph" w:customStyle="1" w:styleId="InChapter">
    <w:name w:val="InChapter"/>
    <w:basedOn w:val="Heading3"/>
    <w:rsid w:val="004E70CE"/>
    <w:pPr>
      <w:spacing w:after="240"/>
      <w:outlineLvl w:val="9"/>
    </w:pPr>
    <w:rPr>
      <w:noProof/>
    </w:rPr>
  </w:style>
  <w:style w:type="paragraph" w:styleId="Index2">
    <w:name w:val="index 2"/>
    <w:basedOn w:val="Normal"/>
    <w:next w:val="Normal"/>
    <w:semiHidden/>
    <w:rsid w:val="004E70CE"/>
    <w:pPr>
      <w:tabs>
        <w:tab w:val="right" w:pos="4176"/>
      </w:tabs>
      <w:ind w:left="568" w:hanging="284"/>
    </w:pPr>
    <w:rPr>
      <w:rFonts w:ascii="Garamond" w:hAnsi="Garamond"/>
    </w:rPr>
  </w:style>
  <w:style w:type="paragraph" w:customStyle="1" w:styleId="Byline">
    <w:name w:val="Byline"/>
    <w:rsid w:val="004E70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70CE"/>
    <w:pPr>
      <w:tabs>
        <w:tab w:val="clear" w:pos="3600"/>
        <w:tab w:val="clear" w:pos="3958"/>
      </w:tabs>
      <w:jc w:val="right"/>
    </w:pPr>
  </w:style>
  <w:style w:type="character" w:styleId="Emphasis">
    <w:name w:val="Emphasis"/>
    <w:basedOn w:val="DefaultParagraphFont"/>
    <w:qFormat/>
    <w:rsid w:val="004E70CE"/>
    <w:rPr>
      <w:i/>
    </w:rPr>
  </w:style>
  <w:style w:type="paragraph" w:styleId="Caption">
    <w:name w:val="caption"/>
    <w:basedOn w:val="BodyText"/>
    <w:next w:val="Normal"/>
    <w:qFormat/>
    <w:rsid w:val="004E70CE"/>
    <w:pPr>
      <w:framePr w:w="2268" w:hSpace="181" w:vSpace="181" w:wrap="around" w:vAnchor="text" w:hAnchor="page" w:x="1135" w:y="285" w:anchorLock="1"/>
    </w:pPr>
    <w:rPr>
      <w:i/>
    </w:rPr>
  </w:style>
  <w:style w:type="paragraph" w:customStyle="1" w:styleId="MiniTOCTitle">
    <w:name w:val="MiniTOCTitle"/>
    <w:basedOn w:val="Heading4"/>
    <w:rsid w:val="004E70CE"/>
    <w:pPr>
      <w:spacing w:before="240"/>
      <w:outlineLvl w:val="9"/>
    </w:pPr>
    <w:rPr>
      <w:noProof/>
      <w:sz w:val="24"/>
    </w:rPr>
  </w:style>
  <w:style w:type="paragraph" w:customStyle="1" w:styleId="MiniTOCItem">
    <w:name w:val="MiniTOCItem"/>
    <w:basedOn w:val="ListBullet"/>
    <w:rsid w:val="004E70CE"/>
    <w:pPr>
      <w:numPr>
        <w:numId w:val="0"/>
      </w:numPr>
      <w:tabs>
        <w:tab w:val="right" w:leader="dot" w:pos="6521"/>
      </w:tabs>
      <w:spacing w:before="0" w:after="0"/>
    </w:pPr>
  </w:style>
  <w:style w:type="paragraph" w:customStyle="1" w:styleId="TOFTitle">
    <w:name w:val="TOFTitle"/>
    <w:basedOn w:val="TOCTitle"/>
    <w:rsid w:val="004E70CE"/>
  </w:style>
  <w:style w:type="paragraph" w:styleId="TableofFigures">
    <w:name w:val="table of figures"/>
    <w:basedOn w:val="Normal"/>
    <w:next w:val="Normal"/>
    <w:semiHidden/>
    <w:rsid w:val="004E70CE"/>
    <w:pPr>
      <w:tabs>
        <w:tab w:val="right" w:leader="dot" w:pos="9072"/>
      </w:tabs>
      <w:ind w:left="970" w:hanging="403"/>
    </w:pPr>
    <w:rPr>
      <w:rFonts w:ascii="Times New Roman" w:hAnsi="Times New Roman"/>
      <w:b/>
    </w:rPr>
  </w:style>
  <w:style w:type="paragraph" w:styleId="ListNumber">
    <w:name w:val="List Number"/>
    <w:basedOn w:val="List"/>
    <w:rsid w:val="004E70CE"/>
    <w:pPr>
      <w:numPr>
        <w:numId w:val="16"/>
      </w:numPr>
      <w:tabs>
        <w:tab w:val="clear" w:pos="340"/>
      </w:tabs>
    </w:pPr>
  </w:style>
  <w:style w:type="character" w:customStyle="1" w:styleId="WingdingSymbols">
    <w:name w:val="Wingding Symbols"/>
    <w:rsid w:val="004E70CE"/>
    <w:rPr>
      <w:rFonts w:ascii="Wingdings" w:hAnsi="Wingdings"/>
    </w:rPr>
  </w:style>
  <w:style w:type="paragraph" w:customStyle="1" w:styleId="TableHeading">
    <w:name w:val="Table Heading"/>
    <w:basedOn w:val="HeadingBase"/>
    <w:rsid w:val="004E70CE"/>
    <w:pPr>
      <w:keepLines/>
      <w:pBdr>
        <w:bottom w:val="single" w:sz="6" w:space="1" w:color="918585"/>
      </w:pBdr>
      <w:spacing w:before="240"/>
    </w:pPr>
  </w:style>
  <w:style w:type="character" w:customStyle="1" w:styleId="HotSpot">
    <w:name w:val="HotSpot"/>
    <w:rsid w:val="004E70CE"/>
    <w:rPr>
      <w:color w:val="0033CC"/>
      <w:u w:val="none"/>
    </w:rPr>
  </w:style>
  <w:style w:type="paragraph" w:customStyle="1" w:styleId="BodyTextRight">
    <w:name w:val="Body Text Right"/>
    <w:basedOn w:val="BodyText"/>
    <w:rsid w:val="004E70CE"/>
    <w:pPr>
      <w:spacing w:before="0" w:after="0"/>
      <w:jc w:val="right"/>
    </w:pPr>
  </w:style>
  <w:style w:type="paragraph" w:styleId="Index3">
    <w:name w:val="index 3"/>
    <w:basedOn w:val="ListNumber2"/>
    <w:next w:val="Normal"/>
    <w:semiHidden/>
    <w:rsid w:val="004E70CE"/>
    <w:pPr>
      <w:numPr>
        <w:numId w:val="0"/>
      </w:numPr>
      <w:tabs>
        <w:tab w:val="right" w:leader="dot" w:pos="4176"/>
      </w:tabs>
    </w:pPr>
  </w:style>
  <w:style w:type="paragraph" w:styleId="ListNumber2">
    <w:name w:val="List Number 2"/>
    <w:basedOn w:val="List2"/>
    <w:rsid w:val="004E70CE"/>
    <w:pPr>
      <w:numPr>
        <w:numId w:val="11"/>
      </w:numPr>
      <w:tabs>
        <w:tab w:val="clear" w:pos="1060"/>
      </w:tabs>
    </w:pPr>
  </w:style>
  <w:style w:type="paragraph" w:customStyle="1" w:styleId="MarginNote">
    <w:name w:val="Margin Note"/>
    <w:basedOn w:val="BodyText"/>
    <w:rsid w:val="004E70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70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70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70CE"/>
    <w:rPr>
      <w:sz w:val="32"/>
    </w:rPr>
  </w:style>
  <w:style w:type="paragraph" w:customStyle="1" w:styleId="HeadingProcedure">
    <w:name w:val="Heading Procedure"/>
    <w:basedOn w:val="HeadingBase"/>
    <w:next w:val="Normal"/>
    <w:rsid w:val="004E70CE"/>
    <w:pPr>
      <w:tabs>
        <w:tab w:val="left" w:pos="0"/>
      </w:tabs>
      <w:spacing w:before="120" w:after="60"/>
    </w:pPr>
    <w:rPr>
      <w:i/>
      <w:color w:val="918585"/>
      <w:sz w:val="22"/>
    </w:rPr>
  </w:style>
  <w:style w:type="paragraph" w:customStyle="1" w:styleId="TableBodyText">
    <w:name w:val="Table Body Text"/>
    <w:basedOn w:val="BodyText"/>
    <w:rsid w:val="004E70CE"/>
    <w:pPr>
      <w:spacing w:before="60" w:after="60"/>
    </w:pPr>
  </w:style>
  <w:style w:type="paragraph" w:styleId="ListContinue">
    <w:name w:val="List Continue"/>
    <w:basedOn w:val="List"/>
    <w:rsid w:val="004E70CE"/>
    <w:pPr>
      <w:ind w:firstLine="0"/>
    </w:pPr>
  </w:style>
  <w:style w:type="paragraph" w:customStyle="1" w:styleId="ListNote">
    <w:name w:val="List Note"/>
    <w:basedOn w:val="List"/>
    <w:rsid w:val="004E70CE"/>
    <w:pPr>
      <w:pBdr>
        <w:top w:val="single" w:sz="6" w:space="2" w:color="918585"/>
        <w:bottom w:val="single" w:sz="6" w:space="2" w:color="918585"/>
      </w:pBdr>
      <w:tabs>
        <w:tab w:val="left" w:pos="1021"/>
      </w:tabs>
      <w:ind w:firstLine="0"/>
    </w:pPr>
  </w:style>
  <w:style w:type="paragraph" w:customStyle="1" w:styleId="Warning">
    <w:name w:val="Warning"/>
    <w:basedOn w:val="BodyText"/>
    <w:rsid w:val="004E70CE"/>
    <w:pPr>
      <w:shd w:val="clear" w:color="auto" w:fill="D9D9D9"/>
      <w:tabs>
        <w:tab w:val="left" w:pos="992"/>
      </w:tabs>
      <w:ind w:left="119" w:right="119"/>
    </w:pPr>
    <w:rPr>
      <w:sz w:val="20"/>
    </w:rPr>
  </w:style>
  <w:style w:type="paragraph" w:customStyle="1" w:styleId="MarginIcons">
    <w:name w:val="Margin Icons"/>
    <w:basedOn w:val="BodyText"/>
    <w:rsid w:val="004E70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70CE"/>
    <w:rPr>
      <w:rFonts w:ascii="Courier New" w:hAnsi="Courier New"/>
    </w:rPr>
  </w:style>
  <w:style w:type="paragraph" w:customStyle="1" w:styleId="NoteBullet">
    <w:name w:val="Note Bullet"/>
    <w:basedOn w:val="Note"/>
    <w:rsid w:val="004E70CE"/>
    <w:pPr>
      <w:tabs>
        <w:tab w:val="clear" w:pos="680"/>
      </w:tabs>
      <w:spacing w:before="60" w:after="60"/>
    </w:pPr>
  </w:style>
  <w:style w:type="paragraph" w:customStyle="1" w:styleId="SubHeading2">
    <w:name w:val="SubHeading2"/>
    <w:basedOn w:val="HeadingBase"/>
    <w:rsid w:val="004E70CE"/>
    <w:pPr>
      <w:spacing w:before="240" w:after="60"/>
    </w:pPr>
    <w:rPr>
      <w:sz w:val="20"/>
    </w:rPr>
  </w:style>
  <w:style w:type="paragraph" w:customStyle="1" w:styleId="SubHeading1">
    <w:name w:val="SubHeading1"/>
    <w:basedOn w:val="HeadingBase"/>
    <w:rsid w:val="004E70CE"/>
    <w:pPr>
      <w:spacing w:before="240" w:after="60"/>
    </w:pPr>
    <w:rPr>
      <w:color w:val="918585"/>
      <w:sz w:val="22"/>
    </w:rPr>
  </w:style>
  <w:style w:type="paragraph" w:customStyle="1" w:styleId="SideHeading">
    <w:name w:val="Side Heading"/>
    <w:basedOn w:val="HeadingBase"/>
    <w:rsid w:val="004E70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70CE"/>
    <w:pPr>
      <w:numPr>
        <w:numId w:val="12"/>
      </w:numPr>
    </w:pPr>
  </w:style>
  <w:style w:type="paragraph" w:styleId="PlainText">
    <w:name w:val="Plain Text"/>
    <w:basedOn w:val="Normal"/>
    <w:link w:val="PlainTextChar"/>
    <w:rsid w:val="004E70CE"/>
    <w:rPr>
      <w:sz w:val="20"/>
    </w:rPr>
  </w:style>
  <w:style w:type="character" w:customStyle="1" w:styleId="PlainTextChar">
    <w:name w:val="Plain Text Char"/>
    <w:basedOn w:val="DefaultParagraphFont"/>
    <w:link w:val="PlainText"/>
    <w:rsid w:val="004E70CE"/>
    <w:rPr>
      <w:rFonts w:ascii="Courier New" w:eastAsia="Times New Roman" w:hAnsi="Courier New" w:cs="Times New Roman"/>
      <w:sz w:val="20"/>
      <w:szCs w:val="20"/>
      <w:lang w:eastAsia="en-US"/>
    </w:rPr>
  </w:style>
  <w:style w:type="character" w:customStyle="1" w:styleId="MenuOption">
    <w:name w:val="Menu Option"/>
    <w:basedOn w:val="DefaultParagraphFont"/>
    <w:rsid w:val="004E70CE"/>
    <w:rPr>
      <w:b/>
      <w:smallCaps/>
    </w:rPr>
  </w:style>
  <w:style w:type="paragraph" w:customStyle="1" w:styleId="TableListNumber">
    <w:name w:val="Table List Number"/>
    <w:basedOn w:val="ListNumber"/>
    <w:rsid w:val="004E70CE"/>
    <w:pPr>
      <w:numPr>
        <w:numId w:val="0"/>
      </w:numPr>
    </w:pPr>
  </w:style>
  <w:style w:type="paragraph" w:styleId="TOC4">
    <w:name w:val="toc 4"/>
    <w:basedOn w:val="TOCBase"/>
    <w:next w:val="Normal"/>
    <w:semiHidden/>
    <w:rsid w:val="004E70CE"/>
    <w:pPr>
      <w:tabs>
        <w:tab w:val="right" w:leader="dot" w:pos="9071"/>
      </w:tabs>
      <w:ind w:left="1701"/>
    </w:pPr>
  </w:style>
  <w:style w:type="paragraph" w:customStyle="1" w:styleId="ListAlpha">
    <w:name w:val="List Alpha"/>
    <w:basedOn w:val="List"/>
    <w:rsid w:val="004E70CE"/>
    <w:pPr>
      <w:numPr>
        <w:numId w:val="10"/>
      </w:numPr>
    </w:pPr>
  </w:style>
  <w:style w:type="paragraph" w:customStyle="1" w:styleId="ListAlpha2">
    <w:name w:val="List Alpha 2"/>
    <w:basedOn w:val="List2"/>
    <w:rsid w:val="004E70CE"/>
    <w:pPr>
      <w:numPr>
        <w:numId w:val="9"/>
      </w:numPr>
    </w:pPr>
  </w:style>
  <w:style w:type="paragraph" w:styleId="List2">
    <w:name w:val="List 2"/>
    <w:basedOn w:val="BodyText"/>
    <w:rsid w:val="004E70CE"/>
    <w:pPr>
      <w:tabs>
        <w:tab w:val="left" w:pos="680"/>
      </w:tabs>
      <w:spacing w:before="60" w:after="60"/>
      <w:ind w:left="680" w:hanging="340"/>
    </w:pPr>
  </w:style>
  <w:style w:type="paragraph" w:styleId="List3">
    <w:name w:val="List 3"/>
    <w:basedOn w:val="BodyText"/>
    <w:rsid w:val="004E70CE"/>
    <w:pPr>
      <w:tabs>
        <w:tab w:val="left" w:pos="1021"/>
      </w:tabs>
      <w:spacing w:before="60" w:after="60"/>
      <w:ind w:left="1020" w:hanging="340"/>
    </w:pPr>
  </w:style>
  <w:style w:type="paragraph" w:styleId="List4">
    <w:name w:val="List 4"/>
    <w:basedOn w:val="BodyText"/>
    <w:rsid w:val="004E70CE"/>
    <w:pPr>
      <w:tabs>
        <w:tab w:val="left" w:pos="1361"/>
      </w:tabs>
      <w:spacing w:before="60" w:after="60"/>
      <w:ind w:left="1361" w:hanging="340"/>
    </w:pPr>
  </w:style>
  <w:style w:type="paragraph" w:styleId="List5">
    <w:name w:val="List 5"/>
    <w:basedOn w:val="BodyText"/>
    <w:rsid w:val="004E70CE"/>
    <w:pPr>
      <w:tabs>
        <w:tab w:val="left" w:pos="1701"/>
      </w:tabs>
      <w:spacing w:before="60" w:after="60"/>
      <w:ind w:left="1701" w:hanging="340"/>
    </w:pPr>
  </w:style>
  <w:style w:type="paragraph" w:styleId="ListBullet4">
    <w:name w:val="List Bullet 4"/>
    <w:basedOn w:val="List4"/>
    <w:rsid w:val="004E70CE"/>
    <w:pPr>
      <w:numPr>
        <w:numId w:val="4"/>
      </w:numPr>
      <w:tabs>
        <w:tab w:val="clear" w:pos="1361"/>
      </w:tabs>
    </w:pPr>
  </w:style>
  <w:style w:type="paragraph" w:styleId="ListBullet5">
    <w:name w:val="List Bullet 5"/>
    <w:basedOn w:val="List5"/>
    <w:rsid w:val="004E70CE"/>
    <w:pPr>
      <w:numPr>
        <w:numId w:val="5"/>
      </w:numPr>
    </w:pPr>
  </w:style>
  <w:style w:type="paragraph" w:styleId="ListContinue2">
    <w:name w:val="List Continue 2"/>
    <w:basedOn w:val="List2"/>
    <w:rsid w:val="004E70CE"/>
    <w:pPr>
      <w:ind w:firstLine="0"/>
    </w:pPr>
  </w:style>
  <w:style w:type="paragraph" w:styleId="ListContinue3">
    <w:name w:val="List Continue 3"/>
    <w:basedOn w:val="List3"/>
    <w:rsid w:val="004E70CE"/>
    <w:pPr>
      <w:ind w:left="1021" w:firstLine="0"/>
    </w:pPr>
  </w:style>
  <w:style w:type="paragraph" w:styleId="ListContinue4">
    <w:name w:val="List Continue 4"/>
    <w:basedOn w:val="List4"/>
    <w:rsid w:val="004E70CE"/>
    <w:pPr>
      <w:ind w:firstLine="0"/>
    </w:pPr>
  </w:style>
  <w:style w:type="paragraph" w:styleId="ListContinue5">
    <w:name w:val="List Continue 5"/>
    <w:basedOn w:val="List5"/>
    <w:rsid w:val="004E70CE"/>
    <w:pPr>
      <w:ind w:firstLine="0"/>
    </w:pPr>
  </w:style>
  <w:style w:type="paragraph" w:styleId="ListNumber3">
    <w:name w:val="List Number 3"/>
    <w:basedOn w:val="List3"/>
    <w:rsid w:val="004E70CE"/>
    <w:pPr>
      <w:numPr>
        <w:numId w:val="6"/>
      </w:numPr>
    </w:pPr>
  </w:style>
  <w:style w:type="paragraph" w:styleId="ListNumber4">
    <w:name w:val="List Number 4"/>
    <w:basedOn w:val="List4"/>
    <w:rsid w:val="004E70CE"/>
    <w:pPr>
      <w:numPr>
        <w:numId w:val="7"/>
      </w:numPr>
    </w:pPr>
  </w:style>
  <w:style w:type="paragraph" w:styleId="ListNumber5">
    <w:name w:val="List Number 5"/>
    <w:basedOn w:val="List5"/>
    <w:rsid w:val="004E70CE"/>
    <w:pPr>
      <w:numPr>
        <w:numId w:val="8"/>
      </w:numPr>
    </w:pPr>
  </w:style>
  <w:style w:type="paragraph" w:styleId="BlockText">
    <w:name w:val="Block Text"/>
    <w:basedOn w:val="Normal"/>
    <w:rsid w:val="004E70CE"/>
    <w:pPr>
      <w:spacing w:after="120"/>
      <w:ind w:left="1440" w:right="1440"/>
    </w:pPr>
  </w:style>
  <w:style w:type="character" w:customStyle="1" w:styleId="Subscript">
    <w:name w:val="Subscript"/>
    <w:basedOn w:val="DefaultParagraphFont"/>
    <w:rsid w:val="004E70CE"/>
    <w:rPr>
      <w:sz w:val="16"/>
      <w:vertAlign w:val="subscript"/>
    </w:rPr>
  </w:style>
  <w:style w:type="character" w:customStyle="1" w:styleId="Superscript">
    <w:name w:val="Superscript"/>
    <w:basedOn w:val="DefaultParagraphFont"/>
    <w:rsid w:val="004E70CE"/>
    <w:rPr>
      <w:sz w:val="16"/>
      <w:vertAlign w:val="superscript"/>
    </w:rPr>
  </w:style>
  <w:style w:type="character" w:customStyle="1" w:styleId="Symbols">
    <w:name w:val="Symbols"/>
    <w:basedOn w:val="DefaultParagraphFont"/>
    <w:rsid w:val="004E70CE"/>
    <w:rPr>
      <w:rFonts w:ascii="Symbol" w:hAnsi="Symbol"/>
    </w:rPr>
  </w:style>
  <w:style w:type="character" w:customStyle="1" w:styleId="MenuOptions">
    <w:name w:val="Menu Options"/>
    <w:basedOn w:val="DefaultParagraphFont"/>
    <w:rsid w:val="004E70CE"/>
    <w:rPr>
      <w:rFonts w:ascii="Arial Narrow" w:hAnsi="Arial Narrow"/>
      <w:smallCaps/>
    </w:rPr>
  </w:style>
  <w:style w:type="character" w:customStyle="1" w:styleId="Buttons">
    <w:name w:val="Buttons"/>
    <w:basedOn w:val="DefaultParagraphFont"/>
    <w:rsid w:val="004E70CE"/>
    <w:rPr>
      <w:b/>
    </w:rPr>
  </w:style>
  <w:style w:type="character" w:customStyle="1" w:styleId="Underlined">
    <w:name w:val="Underlined"/>
    <w:basedOn w:val="DefaultParagraphFont"/>
    <w:rsid w:val="004E70CE"/>
    <w:rPr>
      <w:u w:val="single"/>
    </w:rPr>
  </w:style>
  <w:style w:type="paragraph" w:customStyle="1" w:styleId="TableBodyTextRight">
    <w:name w:val="Table Body Text Right"/>
    <w:basedOn w:val="TableBodyText"/>
    <w:rsid w:val="004E70CE"/>
    <w:pPr>
      <w:widowControl w:val="0"/>
      <w:autoSpaceDE w:val="0"/>
      <w:autoSpaceDN w:val="0"/>
      <w:adjustRightInd w:val="0"/>
      <w:jc w:val="right"/>
    </w:pPr>
    <w:rPr>
      <w:rFonts w:cs="Arial"/>
      <w:szCs w:val="18"/>
    </w:rPr>
  </w:style>
  <w:style w:type="paragraph" w:customStyle="1" w:styleId="CopyrightText">
    <w:name w:val="Copyright Text"/>
    <w:basedOn w:val="BodyText"/>
    <w:rsid w:val="004E70CE"/>
    <w:rPr>
      <w:sz w:val="18"/>
    </w:rPr>
  </w:style>
  <w:style w:type="paragraph" w:customStyle="1" w:styleId="BodySmallRight">
    <w:name w:val="Body Small Right"/>
    <w:basedOn w:val="BodyTextRight"/>
    <w:rsid w:val="004E70CE"/>
    <w:rPr>
      <w:sz w:val="18"/>
      <w:szCs w:val="18"/>
    </w:rPr>
  </w:style>
  <w:style w:type="paragraph" w:customStyle="1" w:styleId="MarginEdition">
    <w:name w:val="Margin Edition"/>
    <w:basedOn w:val="MarginNote"/>
    <w:rsid w:val="004E70CE"/>
    <w:pPr>
      <w:spacing w:before="0" w:after="0"/>
    </w:pPr>
    <w:rPr>
      <w:rFonts w:ascii="Times New Roman" w:hAnsi="Times New Roman"/>
      <w:color w:val="999999"/>
    </w:rPr>
  </w:style>
  <w:style w:type="paragraph" w:customStyle="1" w:styleId="Spacer">
    <w:name w:val="Spacer"/>
    <w:basedOn w:val="Normal"/>
    <w:rsid w:val="004E70CE"/>
    <w:rPr>
      <w:sz w:val="2"/>
      <w:szCs w:val="2"/>
    </w:rPr>
  </w:style>
  <w:style w:type="character" w:customStyle="1" w:styleId="Small">
    <w:name w:val="Small"/>
    <w:basedOn w:val="DefaultParagraphFont"/>
    <w:rsid w:val="004E70CE"/>
    <w:rPr>
      <w:sz w:val="16"/>
    </w:rPr>
  </w:style>
  <w:style w:type="paragraph" w:customStyle="1" w:styleId="WideTable">
    <w:name w:val="Wide Table"/>
    <w:basedOn w:val="Normal"/>
    <w:rsid w:val="004E70CE"/>
    <w:pPr>
      <w:ind w:left="-1418"/>
    </w:pPr>
    <w:rPr>
      <w:sz w:val="2"/>
      <w:szCs w:val="2"/>
    </w:rPr>
  </w:style>
  <w:style w:type="character" w:styleId="PageNumber">
    <w:name w:val="page number"/>
    <w:basedOn w:val="DefaultParagraphFont"/>
    <w:rsid w:val="004E70CE"/>
  </w:style>
  <w:style w:type="paragraph" w:styleId="Quote">
    <w:name w:val="Quote"/>
    <w:basedOn w:val="Heading1"/>
    <w:link w:val="QuoteChar"/>
    <w:qFormat/>
    <w:rsid w:val="004E70CE"/>
    <w:rPr>
      <w:b w:val="0"/>
      <w:sz w:val="72"/>
      <w:szCs w:val="72"/>
      <w:lang w:val="en-NZ"/>
    </w:rPr>
  </w:style>
  <w:style w:type="character" w:customStyle="1" w:styleId="QuoteChar">
    <w:name w:val="Quote Char"/>
    <w:basedOn w:val="DefaultParagraphFont"/>
    <w:link w:val="Quote"/>
    <w:rsid w:val="004E70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70CE"/>
    <w:pPr>
      <w:pageBreakBefore/>
    </w:pPr>
  </w:style>
  <w:style w:type="paragraph" w:customStyle="1" w:styleId="Border">
    <w:name w:val="Border"/>
    <w:basedOn w:val="Normal"/>
    <w:qFormat/>
    <w:rsid w:val="004E70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70CE"/>
    <w:rPr>
      <w:b/>
      <w:bCs/>
      <w:i/>
      <w:iCs/>
      <w:color w:val="auto"/>
    </w:rPr>
  </w:style>
  <w:style w:type="paragraph" w:styleId="IntenseQuote">
    <w:name w:val="Intense Quote"/>
    <w:basedOn w:val="Normal"/>
    <w:next w:val="Normal"/>
    <w:link w:val="IntenseQuoteChar"/>
    <w:uiPriority w:val="30"/>
    <w:qFormat/>
    <w:rsid w:val="004E70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70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70CE"/>
    <w:rPr>
      <w:smallCaps/>
      <w:color w:val="auto"/>
      <w:u w:val="single"/>
    </w:rPr>
  </w:style>
  <w:style w:type="character" w:styleId="IntenseReference">
    <w:name w:val="Intense Reference"/>
    <w:basedOn w:val="DefaultParagraphFont"/>
    <w:uiPriority w:val="32"/>
    <w:qFormat/>
    <w:rsid w:val="004E70CE"/>
    <w:rPr>
      <w:b/>
      <w:bCs/>
      <w:smallCaps/>
      <w:color w:val="auto"/>
      <w:spacing w:val="5"/>
      <w:u w:val="single"/>
    </w:rPr>
  </w:style>
  <w:style w:type="paragraph" w:customStyle="1" w:styleId="2ColumnHeading">
    <w:name w:val="2Column Heading"/>
    <w:basedOn w:val="BodyText"/>
    <w:qFormat/>
    <w:rsid w:val="004E70CE"/>
    <w:pPr>
      <w:spacing w:after="60"/>
      <w:ind w:left="-2268"/>
    </w:pPr>
    <w:rPr>
      <w:b/>
    </w:rPr>
  </w:style>
  <w:style w:type="paragraph" w:customStyle="1" w:styleId="Heading1TOC">
    <w:name w:val="Heading1 TOC"/>
    <w:basedOn w:val="Normal"/>
    <w:qFormat/>
    <w:rsid w:val="004E70CE"/>
    <w:pPr>
      <w:spacing w:before="240" w:after="120"/>
    </w:pPr>
    <w:rPr>
      <w:rFonts w:ascii="Times New Roman" w:hAnsi="Times New Roman"/>
      <w:b/>
      <w:sz w:val="32"/>
    </w:rPr>
  </w:style>
  <w:style w:type="paragraph" w:customStyle="1" w:styleId="Heading2TOC">
    <w:name w:val="Heading2 TOC"/>
    <w:basedOn w:val="Normal"/>
    <w:qFormat/>
    <w:rsid w:val="004E70CE"/>
    <w:pPr>
      <w:spacing w:before="240" w:after="60"/>
    </w:pPr>
    <w:rPr>
      <w:rFonts w:ascii="Times New Roman" w:hAnsi="Times New Roman"/>
      <w:b/>
      <w:sz w:val="28"/>
    </w:rPr>
  </w:style>
  <w:style w:type="character" w:customStyle="1" w:styleId="Underline">
    <w:name w:val="Underline"/>
    <w:basedOn w:val="DefaultParagraphFont"/>
    <w:qFormat/>
    <w:rsid w:val="004E70CE"/>
    <w:rPr>
      <w:u w:val="single"/>
    </w:rPr>
  </w:style>
  <w:style w:type="character" w:customStyle="1" w:styleId="BoldandItalics">
    <w:name w:val="Bold and Italics"/>
    <w:qFormat/>
    <w:rsid w:val="004E70CE"/>
    <w:rPr>
      <w:b/>
      <w:i/>
      <w:u w:val="none"/>
    </w:rPr>
  </w:style>
  <w:style w:type="paragraph" w:styleId="BalloonText">
    <w:name w:val="Balloon Text"/>
    <w:basedOn w:val="Normal"/>
    <w:link w:val="BalloonTextChar"/>
    <w:rsid w:val="004E70CE"/>
    <w:rPr>
      <w:rFonts w:ascii="Tahoma" w:hAnsi="Tahoma" w:cs="Tahoma"/>
      <w:sz w:val="16"/>
      <w:szCs w:val="16"/>
    </w:rPr>
  </w:style>
  <w:style w:type="character" w:customStyle="1" w:styleId="BalloonTextChar">
    <w:name w:val="Balloon Text Char"/>
    <w:basedOn w:val="DefaultParagraphFont"/>
    <w:link w:val="BalloonText"/>
    <w:rsid w:val="004E70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70C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70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70CE"/>
    <w:rPr>
      <w:b/>
      <w:color w:val="660033"/>
      <w:spacing w:val="0"/>
    </w:rPr>
  </w:style>
  <w:style w:type="paragraph" w:customStyle="1" w:styleId="Nameditemlist">
    <w:name w:val="Named item list"/>
    <w:basedOn w:val="BodyText"/>
    <w:qFormat/>
    <w:rsid w:val="004E70CE"/>
    <w:pPr>
      <w:tabs>
        <w:tab w:val="left" w:pos="2835"/>
      </w:tabs>
      <w:ind w:left="2835" w:hanging="2835"/>
    </w:pPr>
  </w:style>
  <w:style w:type="paragraph" w:customStyle="1" w:styleId="BodyTextnopadding">
    <w:name w:val="Body Text no padding"/>
    <w:basedOn w:val="BodyText"/>
    <w:qFormat/>
    <w:rsid w:val="004E70CE"/>
    <w:pPr>
      <w:spacing w:before="0" w:after="0"/>
    </w:pPr>
  </w:style>
  <w:style w:type="character" w:styleId="Hyperlink">
    <w:name w:val="Hyperlink"/>
    <w:basedOn w:val="DefaultParagraphFont"/>
    <w:uiPriority w:val="99"/>
    <w:unhideWhenUsed/>
    <w:rsid w:val="004744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1158</Words>
  <Characters>7475</Characters>
  <Application>Microsoft Office Word</Application>
  <DocSecurity>0</DocSecurity>
  <Lines>196</Lines>
  <Paragraphs>146</Paragraphs>
  <ScaleCrop>false</ScaleCrop>
  <Company>Author-it Software Corporation Ltd.</Company>
  <LinksUpToDate>false</LinksUpToDate>
  <CharactersWithSpaces>8487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RIIMCU505E Implement the inrush management plan</dc:title>
  <dc:subject>Approved</dc:subject>
  <dc:creator>PwC’s Skills for Australia</dc:creator>
  <cp:keywords>Release: 1</cp:keywords>
  <dc:description>Review Date: 12 April 2008</dc:description>
  <cp:lastModifiedBy>HSD_TPCMSd.prod</cp:lastModifiedBy>
  <cp:revision>3</cp:revision>
  <dcterms:created xsi:type="dcterms:W3CDTF">2022-10-18T14:06:00Z</dcterms:created>
  <dcterms:modified xsi:type="dcterms:W3CDTF">2022-10-18T14:06:00Z</dcterms:modified>
</cp:coreProperties>
</file>