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7FA3" w:rsidP="008F7FA3">
      <w:pPr>
        <w:pStyle w:val="Title"/>
      </w:pPr>
      <w:r>
        <w:fldChar w:fldCharType="begin"/>
      </w:r>
      <w:r>
        <w:instrText xml:space="preserve"> TITLE   \* MERGEFORMAT </w:instrText>
      </w:r>
      <w:r>
        <w:fldChar w:fldCharType="separate"/>
      </w:r>
      <w:r>
        <w:t>Assessment Requirements for RIIMCU505D Implement the inrush management plan</w:t>
      </w:r>
      <w:r>
        <w:fldChar w:fldCharType="end"/>
      </w:r>
    </w:p>
    <w:p w:rsidR="008F7FA3" w:rsidP="008F7FA3">
      <w:pPr>
        <w:pStyle w:val="Version"/>
        <w:sectPr w:rsidSect="000B22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B2211" w:rsidP="000B2211">
      <w:pPr>
        <w:pStyle w:val="SuperHeading"/>
      </w:pPr>
      <w:r w:rsidRPr="000B2211">
        <w:t>Assessment Requirements for RIIMCU505D Implement the inrush management plan</w:t>
      </w:r>
    </w:p>
    <w:p w:rsidR="00000000" w:rsidRPr="000B2211" w:rsidP="000B2211">
      <w:pPr>
        <w:pStyle w:val="Heading1"/>
      </w:pPr>
      <w:bookmarkStart w:id="1" w:name="O_689917"/>
      <w:bookmarkEnd w:id="1"/>
      <w:r w:rsidRPr="000B2211">
        <w:t>Modification History</w:t>
      </w:r>
    </w:p>
    <w:tbl>
      <w:tblPr>
        <w:tblW w:w="9270" w:type="dxa"/>
        <w:tblLayout w:type="fixed"/>
        <w:tblCellMar>
          <w:left w:w="62" w:type="dxa"/>
          <w:right w:w="62" w:type="dxa"/>
        </w:tblCellMar>
        <w:tblLook w:val="0000"/>
      </w:tblPr>
      <w:tblGrid>
        <w:gridCol w:w="1170"/>
        <w:gridCol w:w="8100"/>
      </w:tblGrid>
      <w:tr w:rsidTr="008F7FA3">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211">
            <w:pPr>
              <w:pStyle w:val="BodyText"/>
              <w:rPr>
                <w:lang w:val="en-NZ"/>
              </w:rPr>
            </w:pPr>
            <w:r w:rsidRPr="000B2211">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211">
            <w:pPr>
              <w:pStyle w:val="BodyText"/>
              <w:rPr>
                <w:lang w:val="en-NZ"/>
              </w:rPr>
            </w:pPr>
            <w:r w:rsidRPr="000B2211">
              <w:t>Comment</w:t>
            </w:r>
          </w:p>
        </w:tc>
      </w:tr>
      <w:tr w:rsidTr="008F7FA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211">
            <w:pPr>
              <w:pStyle w:val="BodyText"/>
              <w:rPr>
                <w:lang w:val="en-NZ"/>
              </w:rPr>
            </w:pPr>
            <w:r w:rsidRPr="000B2211">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211">
            <w:pPr>
              <w:pStyle w:val="BodyText"/>
              <w:rPr>
                <w:lang w:val="en-NZ"/>
              </w:rPr>
            </w:pPr>
            <w:r w:rsidRPr="000B2211">
              <w:t>This unit replaces RIIMCU505A Implement the inrush management plan</w:t>
            </w:r>
          </w:p>
        </w:tc>
      </w:tr>
      <w:tr w:rsidTr="008F7FA3">
        <w:tblPrEx>
          <w:tblW w:w="9270" w:type="dxa"/>
          <w:tblLayout w:type="fixed"/>
          <w:tblCellMar>
            <w:left w:w="62" w:type="dxa"/>
            <w:right w:w="62" w:type="dxa"/>
          </w:tblCellMar>
          <w:tblLook w:val="0000"/>
        </w:tblPrEx>
        <w:trPr>
          <w:trHeight w:val="1204"/>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211">
            <w:pPr>
              <w:pStyle w:val="BodyText"/>
              <w:rPr>
                <w:lang w:val="en-NZ"/>
              </w:rPr>
            </w:pPr>
            <w:r w:rsidRPr="000B2211">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211" w:rsidP="000B2211">
            <w:pPr>
              <w:pStyle w:val="BodyText"/>
            </w:pPr>
            <w:r w:rsidRPr="000B2211">
              <w:t>Required frequency and volume of evidence amended in Performance evidence.</w:t>
            </w:r>
            <w:r w:rsidRPr="000B2211">
              <w:br/>
              <w:t>Substantial amendments made in Assessment Conditions field, including: references to Industry Sectors, assessor and subject matter expert experience requirements, how assessment sho</w:t>
            </w:r>
            <w:r w:rsidRPr="000B2211">
              <w:t>uld be conducted and what it should confirm.</w:t>
            </w:r>
          </w:p>
        </w:tc>
      </w:tr>
    </w:tbl>
    <w:p w:rsidR="00000000" w:rsidRPr="000B2211" w:rsidP="000B2211">
      <w:pPr>
        <w:pStyle w:val="BodyText"/>
      </w:pPr>
    </w:p>
    <w:p w:rsidR="00000000" w:rsidRPr="000B2211" w:rsidP="000B2211">
      <w:pPr>
        <w:pStyle w:val="AllowPageBreak"/>
      </w:pPr>
    </w:p>
    <w:p w:rsidR="00000000" w:rsidRPr="000B2211" w:rsidP="000B2211">
      <w:pPr>
        <w:pStyle w:val="Heading1"/>
      </w:pPr>
      <w:bookmarkStart w:id="2" w:name="O_689916"/>
      <w:bookmarkEnd w:id="2"/>
      <w:r w:rsidRPr="000B2211">
        <w:t>Performance Evidence</w:t>
      </w:r>
    </w:p>
    <w:p w:rsidR="00000000" w:rsidRPr="000B2211" w:rsidP="008F7FA3">
      <w:pPr>
        <w:pStyle w:val="BodyText"/>
      </w:pPr>
      <w:r w:rsidRPr="000B2211">
        <w:t>Evidence is required to be collected that demonstrates a candidate’s competency in this unit. Evidence must be relevant to the roles within this sector’</w:t>
      </w:r>
      <w:r w:rsidRPr="000B2211">
        <w:t>s work operations and satisfy all of the requirements of the performance criteria of this unit and include evidence that the candidate:</w:t>
      </w:r>
    </w:p>
    <w:p w:rsidR="00000000" w:rsidRPr="000B2211" w:rsidP="000B2211">
      <w:pPr>
        <w:pStyle w:val="ListBullet2"/>
      </w:pPr>
      <w:r w:rsidRPr="000B2211">
        <w:t>locates and applies relevant legislation, documentation, policies and procedures</w:t>
      </w:r>
    </w:p>
    <w:p w:rsidR="00000000" w:rsidRPr="000B2211" w:rsidP="000B2211">
      <w:pPr>
        <w:pStyle w:val="ListBullet2"/>
      </w:pPr>
      <w:r w:rsidRPr="000B2211">
        <w:t>implements the procedures and techniqu</w:t>
      </w:r>
      <w:r w:rsidRPr="000B2211">
        <w:t>es for the safe, effective and efficient implementation of the inrush management plan including:</w:t>
      </w:r>
    </w:p>
    <w:p w:rsidR="00000000" w:rsidRPr="000B2211" w:rsidP="000B2211">
      <w:pPr>
        <w:pStyle w:val="ListBullet3"/>
      </w:pPr>
      <w:r w:rsidRPr="000B2211">
        <w:t>operating hand held monitoring equipment</w:t>
      </w:r>
    </w:p>
    <w:p w:rsidR="00000000" w:rsidRPr="000B2211" w:rsidP="000B2211">
      <w:pPr>
        <w:pStyle w:val="ListBullet3"/>
      </w:pPr>
      <w:r w:rsidRPr="000B2211">
        <w:t>accessing and interpreting data from monitoring systems and equipment</w:t>
      </w:r>
    </w:p>
    <w:p w:rsidR="00000000" w:rsidRPr="000B2211" w:rsidP="000B2211">
      <w:pPr>
        <w:pStyle w:val="ListBullet3"/>
      </w:pPr>
      <w:r w:rsidRPr="000B2211">
        <w:t xml:space="preserve">accessing and interpreting design criteria for </w:t>
      </w:r>
      <w:r w:rsidRPr="000B2211">
        <w:t>inrush prevention and management systems and devices</w:t>
      </w:r>
    </w:p>
    <w:p w:rsidR="00000000" w:rsidRPr="000B2211" w:rsidP="000B2211">
      <w:pPr>
        <w:pStyle w:val="ListBullet3"/>
      </w:pPr>
      <w:r w:rsidRPr="000B2211">
        <w:t>performing inrush planning mathematical calculations</w:t>
      </w:r>
    </w:p>
    <w:p w:rsidR="00000000" w:rsidRPr="000B2211" w:rsidP="000B2211">
      <w:pPr>
        <w:pStyle w:val="ListBullet3"/>
      </w:pPr>
      <w:r w:rsidRPr="000B2211">
        <w:t>interpreting and applying mathematical and scientific theorems / laws related to inrush</w:t>
      </w:r>
    </w:p>
    <w:p w:rsidR="00000000" w:rsidRPr="000B2211" w:rsidP="000B2211">
      <w:pPr>
        <w:pStyle w:val="ListBullet3"/>
      </w:pPr>
      <w:r w:rsidRPr="000B2211">
        <w:t>interpreting computer spreadsheets and inrush modeling/ simula</w:t>
      </w:r>
      <w:r w:rsidRPr="000B2211">
        <w:t>tions</w:t>
      </w:r>
    </w:p>
    <w:p w:rsidR="00000000" w:rsidRPr="000B2211" w:rsidP="000B2211">
      <w:pPr>
        <w:pStyle w:val="ListBullet3"/>
      </w:pPr>
      <w:r w:rsidRPr="000B2211">
        <w:t>accessing and interpreting archival and historical inrush information related to the mine</w:t>
      </w:r>
    </w:p>
    <w:p w:rsidR="00000000" w:rsidRPr="000B2211" w:rsidP="000B2211">
      <w:pPr>
        <w:pStyle w:val="ListBullet2"/>
      </w:pPr>
      <w:r w:rsidRPr="000B2211">
        <w:t>works with others to undertake and complete the implementation of the inrush management plan that meets all of the required outcomes including:</w:t>
      </w:r>
    </w:p>
    <w:p w:rsidR="00000000" w:rsidRPr="000B2211" w:rsidP="000B2211">
      <w:pPr>
        <w:pStyle w:val="ListBullet3"/>
      </w:pPr>
      <w:r w:rsidRPr="000B2211">
        <w:t>communicating clearly and concisely with others to receive and clarify work instructions, and convey work progress</w:t>
      </w:r>
    </w:p>
    <w:p w:rsidR="00000000" w:rsidRPr="000B2211" w:rsidP="000B2211">
      <w:pPr>
        <w:pStyle w:val="ListBullet3"/>
      </w:pPr>
      <w:r w:rsidRPr="000B2211">
        <w:t>identifying roles and responsibilities in accordance with the inrush management plan</w:t>
      </w:r>
    </w:p>
    <w:p w:rsidR="00000000" w:rsidRPr="000B2211" w:rsidP="000B2211">
      <w:pPr>
        <w:pStyle w:val="ListBullet3"/>
      </w:pPr>
      <w:r w:rsidRPr="000B2211">
        <w:t>identifying the relevant information and scope of the wo</w:t>
      </w:r>
      <w:r w:rsidRPr="000B2211">
        <w:t>rk necessary to meet the required outcomes</w:t>
      </w:r>
    </w:p>
    <w:p w:rsidR="00000000" w:rsidRPr="000B2211" w:rsidP="000B2211">
      <w:pPr>
        <w:pStyle w:val="ListBullet3"/>
      </w:pPr>
      <w:r w:rsidRPr="000B2211">
        <w:t>interpreting inrush training requirements</w:t>
      </w:r>
    </w:p>
    <w:p w:rsidR="00000000" w:rsidRPr="000B2211" w:rsidP="000B2211">
      <w:pPr>
        <w:pStyle w:val="ListBullet"/>
      </w:pPr>
      <w:r w:rsidRPr="000B2211">
        <w:t>demonstrates completion of implementing the inrush management plan that safely, effectively and efficiently meets all of the required outcomes on more than one (1) occasi</w:t>
      </w:r>
      <w:r w:rsidRPr="000B2211">
        <w:t>on including:</w:t>
      </w:r>
    </w:p>
    <w:p w:rsidR="00000000" w:rsidRPr="000B2211" w:rsidP="000B2211">
      <w:pPr>
        <w:pStyle w:val="ListBullet3"/>
      </w:pPr>
      <w:r w:rsidRPr="000B2211">
        <w:t>identifying viable options and selecting the inrush management plan elements that best meet the required outcomes</w:t>
      </w:r>
    </w:p>
    <w:p w:rsidR="00000000" w:rsidRPr="000B2211" w:rsidP="000B2211">
      <w:pPr>
        <w:pStyle w:val="ListBullet3"/>
      </w:pPr>
      <w:r w:rsidRPr="000B2211">
        <w:t>conducting audits/enquiries/investigations and preparing reports</w:t>
      </w:r>
    </w:p>
    <w:p w:rsidR="00000000" w:rsidRPr="000B2211" w:rsidP="000B2211">
      <w:pPr>
        <w:pStyle w:val="AllowPageBreak"/>
      </w:pPr>
    </w:p>
    <w:p w:rsidR="00000000" w:rsidRPr="000B2211" w:rsidP="000B2211">
      <w:pPr>
        <w:pStyle w:val="Heading1"/>
      </w:pPr>
      <w:bookmarkStart w:id="3" w:name="O_689915"/>
      <w:bookmarkEnd w:id="3"/>
      <w:r w:rsidRPr="000B2211">
        <w:t>Knowledge Evidence</w:t>
      </w:r>
    </w:p>
    <w:p w:rsidR="00000000" w:rsidRPr="000B2211" w:rsidP="008F7FA3">
      <w:pPr>
        <w:pStyle w:val="BodyText"/>
      </w:pPr>
      <w:r w:rsidRPr="000B2211">
        <w:t>The candidate must demonstrate knowledge of implementing inrush management plans through:</w:t>
      </w:r>
    </w:p>
    <w:p w:rsidR="00000000" w:rsidRPr="000B2211" w:rsidP="000B2211">
      <w:pPr>
        <w:pStyle w:val="ListBullet2"/>
      </w:pPr>
      <w:r w:rsidRPr="000B2211">
        <w:t>systems of mining including:</w:t>
      </w:r>
    </w:p>
    <w:p w:rsidR="00000000" w:rsidRPr="000B2211" w:rsidP="000B2211">
      <w:pPr>
        <w:pStyle w:val="ListBullet3"/>
      </w:pPr>
      <w:r>
        <w:t>•</w:t>
      </w:r>
      <w:r>
        <w:tab/>
      </w:r>
      <w:r w:rsidRPr="000B2211">
        <w:t>tunnels, drifts, stone drivage, shaft sinking, pillar extraction, partial extraction, punch mining and fault drivage</w:t>
      </w:r>
    </w:p>
    <w:p w:rsidR="00000000" w:rsidRPr="000B2211" w:rsidP="000B2211">
      <w:pPr>
        <w:pStyle w:val="ListBullet2"/>
      </w:pPr>
      <w:r w:rsidRPr="000B2211">
        <w:t>factors affectin</w:t>
      </w:r>
      <w:r w:rsidRPr="000B2211">
        <w:t>g stability of mining structures including:</w:t>
      </w:r>
    </w:p>
    <w:p w:rsidR="00000000" w:rsidRPr="000B2211" w:rsidP="000B2211">
      <w:pPr>
        <w:pStyle w:val="ListBullet3"/>
      </w:pPr>
      <w:r w:rsidRPr="000B2211">
        <w:t>stress analysis: including mining induced stress and topography</w:t>
      </w:r>
    </w:p>
    <w:p w:rsidR="00000000" w:rsidRPr="000B2211" w:rsidP="000B2211">
      <w:pPr>
        <w:pStyle w:val="ListBullet3"/>
      </w:pPr>
      <w:r w:rsidRPr="000B2211">
        <w:t>sedimentology: including subsidence, water bearing strata, permeability of seam and strata, hydrology, hydrogeology, physical property testing, cav</w:t>
      </w:r>
      <w:r w:rsidRPr="000B2211">
        <w:t>ing characteristics, outburst, over and underlying strata</w:t>
      </w:r>
    </w:p>
    <w:p w:rsidR="00000000" w:rsidRPr="000B2211" w:rsidP="000B2211">
      <w:pPr>
        <w:pStyle w:val="ListBullet3"/>
      </w:pPr>
      <w:r w:rsidRPr="000B2211">
        <w:t>mining structure failure modes</w:t>
      </w:r>
    </w:p>
    <w:p w:rsidR="00000000" w:rsidRPr="000B2211" w:rsidP="000B2211">
      <w:pPr>
        <w:pStyle w:val="ListBullet2"/>
      </w:pPr>
      <w:r w:rsidRPr="000B2211">
        <w:t>systems of work including:</w:t>
      </w:r>
    </w:p>
    <w:p w:rsidR="00000000" w:rsidRPr="000B2211" w:rsidP="000B2211">
      <w:pPr>
        <w:pStyle w:val="ListBullet3"/>
      </w:pPr>
      <w:r>
        <w:t>•</w:t>
      </w:r>
      <w:r>
        <w:tab/>
      </w:r>
      <w:r w:rsidRPr="000B2211">
        <w:t>bord and pillar, place changing, longwall, highwall, auger mining, pillar extraction, partial extraction and punch mining</w:t>
      </w:r>
    </w:p>
    <w:p w:rsidR="00000000" w:rsidRPr="000B2211" w:rsidP="000B2211">
      <w:pPr>
        <w:pStyle w:val="ListBullet2"/>
      </w:pPr>
      <w:r w:rsidRPr="000B2211">
        <w:t>identifying and applying mining and general engineering principles relevant to the behaviour of excavations in rock and coal including:</w:t>
      </w:r>
    </w:p>
    <w:p w:rsidR="00000000" w:rsidRPr="000B2211" w:rsidP="000B2211">
      <w:pPr>
        <w:pStyle w:val="ListBullet3"/>
      </w:pPr>
      <w:r w:rsidRPr="000B2211">
        <w:t>audit methodologies</w:t>
      </w:r>
    </w:p>
    <w:p w:rsidR="00000000" w:rsidRPr="000B2211" w:rsidP="000B2211">
      <w:pPr>
        <w:pStyle w:val="ListBullet3"/>
      </w:pPr>
      <w:r w:rsidRPr="000B2211">
        <w:t>mine mapping of inrush zones, related geology and features</w:t>
      </w:r>
    </w:p>
    <w:p w:rsidR="00000000" w:rsidRPr="000B2211" w:rsidP="000B2211">
      <w:pPr>
        <w:pStyle w:val="ListBullet2"/>
      </w:pPr>
      <w:r w:rsidRPr="000B2211">
        <w:t>differing geological features and condi</w:t>
      </w:r>
      <w:r w:rsidRPr="000B2211">
        <w:t>tions on inrush zones including:</w:t>
      </w:r>
    </w:p>
    <w:p w:rsidR="00000000" w:rsidRPr="000B2211" w:rsidP="000B2211">
      <w:pPr>
        <w:pStyle w:val="ListBullet3"/>
      </w:pPr>
      <w:r w:rsidRPr="000B2211">
        <w:t>the effects of coal seam characteristics on inrush</w:t>
      </w:r>
    </w:p>
    <w:p w:rsidR="00000000" w:rsidRPr="000B2211" w:rsidP="000B2211">
      <w:pPr>
        <w:pStyle w:val="ListBullet3"/>
      </w:pPr>
      <w:r w:rsidRPr="000B2211">
        <w:t>faults, dykes, intrusions and strata deformities</w:t>
      </w:r>
    </w:p>
    <w:p w:rsidR="00000000" w:rsidRPr="000B2211" w:rsidP="000B2211">
      <w:pPr>
        <w:pStyle w:val="ListBullet2"/>
      </w:pPr>
      <w:r w:rsidRPr="000B2211">
        <w:t>monitoring systems and techniques including:</w:t>
      </w:r>
    </w:p>
    <w:p w:rsidR="00000000" w:rsidRPr="000B2211" w:rsidP="000B2211">
      <w:pPr>
        <w:pStyle w:val="ListBullet3"/>
      </w:pPr>
      <w:r w:rsidRPr="000B2211">
        <w:t>fixed monitoring systems: types, uses/limitations, design criteria, specifi</w:t>
      </w:r>
      <w:r w:rsidRPr="000B2211">
        <w:t>cations and design processes</w:t>
      </w:r>
    </w:p>
    <w:p w:rsidR="00000000" w:rsidRPr="000B2211" w:rsidP="000B2211">
      <w:pPr>
        <w:pStyle w:val="ListBullet3"/>
      </w:pPr>
      <w:r w:rsidRPr="000B2211">
        <w:t>portable monitoring equipment: types, uses/limitations</w:t>
      </w:r>
    </w:p>
    <w:p w:rsidR="00000000" w:rsidRPr="000B2211" w:rsidP="000B2211">
      <w:pPr>
        <w:pStyle w:val="ListBullet3"/>
      </w:pPr>
      <w:r w:rsidRPr="000B2211">
        <w:t>the use of simulation techniques and applications relevant to inrush</w:t>
      </w:r>
    </w:p>
    <w:p w:rsidR="00000000" w:rsidRPr="000B2211" w:rsidP="000B2211">
      <w:pPr>
        <w:pStyle w:val="ListBullet3"/>
      </w:pPr>
      <w:r w:rsidRPr="000B2211">
        <w:t>use of computer-based systems for real time monitoring</w:t>
      </w:r>
    </w:p>
    <w:p w:rsidR="00000000" w:rsidRPr="000B2211" w:rsidP="000B2211">
      <w:pPr>
        <w:pStyle w:val="ListBullet3"/>
      </w:pPr>
      <w:r w:rsidRPr="000B2211">
        <w:t>methods of control of inrush</w:t>
      </w:r>
    </w:p>
    <w:p w:rsidR="00000000" w:rsidRPr="000B2211" w:rsidP="000B2211">
      <w:pPr>
        <w:pStyle w:val="ListBullet3"/>
      </w:pPr>
      <w:r w:rsidRPr="000B2211">
        <w:t>types of inrush con</w:t>
      </w:r>
      <w:r w:rsidRPr="000B2211">
        <w:t>trol zones</w:t>
      </w:r>
    </w:p>
    <w:p w:rsidR="00000000" w:rsidRPr="000B2211" w:rsidP="000B2211">
      <w:pPr>
        <w:pStyle w:val="ListBullet3"/>
      </w:pPr>
      <w:r w:rsidRPr="000B2211">
        <w:t>processes and techniques for determining alarms and trigger points/levels</w:t>
      </w:r>
    </w:p>
    <w:p w:rsidR="00000000" w:rsidRPr="000B2211" w:rsidP="000B2211">
      <w:pPr>
        <w:pStyle w:val="ListBullet3"/>
      </w:pPr>
      <w:r w:rsidRPr="000B2211">
        <w:t>emergency response and evacuation/disaster planning processes and techniques</w:t>
      </w:r>
    </w:p>
    <w:p w:rsidR="00000000" w:rsidRPr="000B2211" w:rsidP="000B2211">
      <w:pPr>
        <w:pStyle w:val="AllowPageBreak"/>
      </w:pPr>
    </w:p>
    <w:p w:rsidR="00000000" w:rsidRPr="000B2211" w:rsidP="000B2211">
      <w:pPr>
        <w:pStyle w:val="Heading1"/>
      </w:pPr>
      <w:bookmarkStart w:id="4" w:name="O_689914"/>
      <w:bookmarkEnd w:id="4"/>
      <w:r w:rsidRPr="000B2211">
        <w:t>Assessment Conditions</w:t>
      </w:r>
    </w:p>
    <w:p w:rsidR="00000000" w:rsidRPr="000B2211" w:rsidP="000B2211">
      <w:pPr>
        <w:pStyle w:val="ListBullet"/>
      </w:pPr>
      <w:r w:rsidRPr="000B2211">
        <w:t xml:space="preserve">An assessor of this unit must satisfy the requirements of the NVR/AQTF or their successors; and Industry regulations for certification and licensing; and, </w:t>
      </w:r>
    </w:p>
    <w:p w:rsidR="00000000" w:rsidRPr="000B2211" w:rsidP="000B2211">
      <w:pPr>
        <w:pStyle w:val="ListBullet"/>
      </w:pPr>
      <w:r w:rsidRPr="000B2211">
        <w:t>this unit must be assessed in the context of this sector’s work environment; and,</w:t>
      </w:r>
    </w:p>
    <w:p w:rsidR="00000000" w:rsidRPr="000B2211" w:rsidP="000B2211">
      <w:pPr>
        <w:pStyle w:val="ListBullet"/>
      </w:pPr>
      <w:r w:rsidRPr="000B2211">
        <w:t xml:space="preserve">this unit must be </w:t>
      </w:r>
      <w:r w:rsidRPr="000B2211">
        <w:t>assessed in compliance with relevant legislation/regulation and using policies, procedures, processes and operational manuals directly related to the industry sector for which it is being assessed; and,</w:t>
      </w:r>
    </w:p>
    <w:p w:rsidR="00000000" w:rsidRPr="000B2211" w:rsidP="000B2211">
      <w:pPr>
        <w:pStyle w:val="ListBullet"/>
      </w:pPr>
      <w:r w:rsidRPr="000B2211">
        <w:t>assessment may be conducted in conjunction with the a</w:t>
      </w:r>
      <w:r w:rsidRPr="000B2211">
        <w:t>ssessment of other Units of Competency; and,</w:t>
      </w:r>
    </w:p>
    <w:p w:rsidR="00000000" w:rsidRPr="000B2211" w:rsidP="000B2211">
      <w:pPr>
        <w:pStyle w:val="ListBullet"/>
      </w:pPr>
      <w:r w:rsidRPr="000B2211">
        <w:t>assessment must confirm consistent performance can be applied in a range of relevant workplace circumstances; and,</w:t>
      </w:r>
    </w:p>
    <w:p w:rsidR="00000000" w:rsidRPr="000B2211" w:rsidP="000B2211">
      <w:pPr>
        <w:pStyle w:val="ListBullet"/>
      </w:pPr>
      <w:r w:rsidRPr="000B2211">
        <w:t xml:space="preserve">assessors must demonstrate the performance evidence, and knowledge evidence as outlined in this </w:t>
      </w:r>
      <w:r w:rsidRPr="000B2211">
        <w:t>Unit of Competency, and through the minimum years of current* work experience specified below in an Industry sector relevant to the outcomes of the unit; or,</w:t>
      </w:r>
    </w:p>
    <w:p w:rsidR="00000000" w:rsidRPr="000B2211" w:rsidP="000B2211">
      <w:pPr>
        <w:pStyle w:val="ListBullet"/>
      </w:pPr>
      <w:r w:rsidRPr="000B2211">
        <w:t>where the assessor does not meet experience requirements a co-assessment or partnership arrangemen</w:t>
      </w:r>
      <w:r w:rsidRPr="000B2211">
        <w:t>t must exist between the qualified assessor and an Industry subject matter expert. The Industry subject matter expert should hold the unit being assessed (or an equivalent unit) and/or demonstrate equivalence of skills and knowledge at the unit level. An I</w:t>
      </w:r>
      <w:r w:rsidRPr="000B2211">
        <w:t>ndustry technical expert must also demonstrate skills and knowledge from the minimum years of current work experience specified below in the Industry sector, including time spent in roles related to the unit being assessed; and,</w:t>
      </w:r>
    </w:p>
    <w:p w:rsidR="00000000" w:rsidRPr="000B2211" w:rsidP="000B2211">
      <w:pPr>
        <w:pStyle w:val="ListBullet"/>
      </w:pPr>
      <w:r w:rsidRPr="000B2211">
        <w:t>assessor and Industry subje</w:t>
      </w:r>
      <w:r w:rsidRPr="000B2211">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0B221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2211">
            <w:pPr>
              <w:pStyle w:val="BodyText"/>
              <w:rPr>
                <w:lang w:val="en-NZ"/>
              </w:rPr>
            </w:pPr>
            <w:r w:rsidRPr="000B221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2211">
            <w:pPr>
              <w:pStyle w:val="BodyText"/>
              <w:rPr>
                <w:lang w:val="en-NZ"/>
              </w:rPr>
            </w:pPr>
            <w:r w:rsidRPr="000B221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2211">
            <w:pPr>
              <w:pStyle w:val="BodyText"/>
              <w:rPr>
                <w:lang w:val="en-NZ"/>
              </w:rPr>
            </w:pPr>
            <w:r w:rsidRPr="000B2211">
              <w:t>Required assessor or Industry subject matter expert experience</w:t>
            </w:r>
          </w:p>
        </w:tc>
      </w:tr>
      <w:tr w:rsidTr="000B221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2211">
            <w:pPr>
              <w:pStyle w:val="BodyText"/>
              <w:rPr>
                <w:lang w:val="en-NZ"/>
              </w:rPr>
            </w:pPr>
            <w:r w:rsidRPr="000B221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2211">
            <w:pPr>
              <w:pStyle w:val="BodyText"/>
              <w:rPr>
                <w:lang w:val="en-NZ"/>
              </w:rPr>
            </w:pPr>
            <w:r w:rsidRPr="000B221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2211">
            <w:pPr>
              <w:pStyle w:val="BodyText"/>
              <w:rPr>
                <w:lang w:val="en-NZ"/>
              </w:rPr>
            </w:pPr>
            <w:r w:rsidRPr="000B2211">
              <w:t>1 Year</w:t>
            </w:r>
          </w:p>
        </w:tc>
      </w:tr>
      <w:tr w:rsidTr="000B221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2211">
            <w:pPr>
              <w:pStyle w:val="BodyText"/>
              <w:rPr>
                <w:lang w:val="en-NZ"/>
              </w:rPr>
            </w:pPr>
            <w:r w:rsidRPr="000B221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2211">
            <w:pPr>
              <w:pStyle w:val="BodyText"/>
              <w:rPr>
                <w:lang w:val="en-NZ"/>
              </w:rPr>
            </w:pPr>
            <w:r w:rsidRPr="000B2211">
              <w:t>2 Years</w:t>
            </w:r>
          </w:p>
        </w:tc>
      </w:tr>
      <w:tr w:rsidTr="000B221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2211">
            <w:pPr>
              <w:pStyle w:val="BodyText"/>
              <w:rPr>
                <w:lang w:val="en-NZ"/>
              </w:rPr>
            </w:pPr>
            <w:r w:rsidRPr="000B221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2211">
            <w:pPr>
              <w:pStyle w:val="BodyText"/>
              <w:rPr>
                <w:lang w:val="en-NZ"/>
              </w:rPr>
            </w:pPr>
            <w:r w:rsidRPr="000B221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2211">
            <w:pPr>
              <w:pStyle w:val="BodyText"/>
              <w:rPr>
                <w:lang w:val="en-NZ"/>
              </w:rPr>
            </w:pPr>
            <w:r w:rsidRPr="000B2211">
              <w:t>3 Years</w:t>
            </w:r>
          </w:p>
        </w:tc>
      </w:tr>
      <w:tr w:rsidTr="000B221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2211">
            <w:pPr>
              <w:pStyle w:val="BodyText"/>
              <w:rPr>
                <w:lang w:val="en-NZ"/>
              </w:rPr>
            </w:pPr>
            <w:r w:rsidRPr="000B221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2211">
            <w:pPr>
              <w:pStyle w:val="BodyText"/>
              <w:rPr>
                <w:lang w:val="en-NZ"/>
              </w:rPr>
            </w:pPr>
            <w:r w:rsidRPr="000B221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2211">
            <w:pPr>
              <w:pStyle w:val="BodyText"/>
              <w:rPr>
                <w:lang w:val="en-NZ"/>
              </w:rPr>
            </w:pPr>
            <w:r w:rsidRPr="000B2211">
              <w:t>5 Years</w:t>
            </w:r>
          </w:p>
        </w:tc>
      </w:tr>
      <w:tr w:rsidTr="000B221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2211">
            <w:pPr>
              <w:pStyle w:val="BodyText"/>
              <w:rPr>
                <w:lang w:val="en-NZ"/>
              </w:rPr>
            </w:pPr>
            <w:r w:rsidRPr="000B221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B2211" w:rsidP="000B2211">
            <w:pPr>
              <w:pStyle w:val="BodyText"/>
            </w:pPr>
            <w:r w:rsidRPr="000B2211">
              <w:t>Where this Unit is being assessed outside of the Resources and Infrastructure Sectors assessor and/or Industry subject matter expert experience should be in-line with industry standards</w:t>
            </w:r>
            <w:r w:rsidRPr="000B2211">
              <w:t xml:space="preserve"> for the sector in which it is being assessed and where no Industry standard is specified should comply with any relevant regulation.</w:t>
            </w:r>
          </w:p>
        </w:tc>
      </w:tr>
    </w:tbl>
    <w:p w:rsidR="00000000" w:rsidRPr="000B2211" w:rsidP="008F7FA3">
      <w:pPr>
        <w:pStyle w:val="BodyText"/>
      </w:pPr>
      <w:r w:rsidRPr="000B2211">
        <w:t>*Assessors can demonstrate current work experienc</w:t>
      </w:r>
      <w:r w:rsidRPr="000B2211">
        <w:t>e through employment within Industry in a role relevant to the outcomes of the Unit; or, for external assessors this can be demonstrated through exposure to Industry by conducting frequent site assessments across various locations.</w:t>
      </w:r>
    </w:p>
    <w:p w:rsidR="00000000" w:rsidRPr="000B2211" w:rsidP="008F7FA3">
      <w:pPr>
        <w:pStyle w:val="BodyText"/>
      </w:pPr>
      <w:r w:rsidRPr="000B2211">
        <w:t xml:space="preserve">**Where a unit is being </w:t>
      </w:r>
      <w:r w:rsidRPr="000B2211">
        <w:t>delivered outside of a Qualification the first numeric character in the Unit code should be considered to indicate the AQF level</w:t>
      </w:r>
    </w:p>
    <w:p w:rsidR="00000000" w:rsidRPr="000B2211" w:rsidP="000B2211">
      <w:pPr>
        <w:pStyle w:val="Heading1"/>
      </w:pPr>
      <w:bookmarkStart w:id="5" w:name="O_689926"/>
      <w:bookmarkEnd w:id="5"/>
      <w:r w:rsidRPr="000B2211">
        <w:t>Links</w:t>
      </w:r>
    </w:p>
    <w:p w:rsidR="00000000" w:rsidRPr="000B2211" w:rsidP="008F7FA3">
      <w:pPr>
        <w:pStyle w:val="BodyText"/>
      </w:pPr>
      <w:r w:rsidRPr="000B221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81CEA">
        <w:rPr>
          <w:rStyle w:val="Hyperlink"/>
        </w:rPr>
        <w:t>https://vetnet.gov.au/Pages/TrainingDocs.aspx?q=88a61002-9a21-4386-aaf8-69c76e675272</w:t>
      </w:r>
      <w:r>
        <w:fldChar w:fldCharType="end"/>
      </w:r>
    </w:p>
    <w:p w:rsidR="00000000" w:rsidRPr="000B2211" w:rsidP="000B2211"/>
    <w:sectPr w:rsidSect="000B22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2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211" w:rsidRPr="008F7FA3" w:rsidP="008F7F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2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FA3" w:rsidP="000B22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7FA3" w:rsidP="000B221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8F7FA3" w:rsidP="000B22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2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F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2211" w:rsidRPr="008F7FA3" w:rsidP="008F7F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2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FA3" w:rsidRPr="002D2AF8" w:rsidP="000B2211">
    <w:pPr>
      <w:pStyle w:val="Header"/>
      <w:framePr w:wrap="around"/>
    </w:pPr>
    <w:r>
      <w:fldChar w:fldCharType="begin"/>
    </w:r>
    <w:r>
      <w:instrText xml:space="preserve"> TITLE   \* MERGEFORMAT </w:instrText>
    </w:r>
    <w:r>
      <w:fldChar w:fldCharType="separate"/>
    </w:r>
    <w:r>
      <w:t>Assessment Requirements for RIIMCU505D Implement the inrush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8F7FA3" w:rsidP="000B22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C06A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3247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3CAC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22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2211"/>
    <w:pPr>
      <w:spacing w:before="360" w:after="60"/>
      <w:outlineLvl w:val="0"/>
    </w:pPr>
    <w:rPr>
      <w:sz w:val="32"/>
    </w:rPr>
  </w:style>
  <w:style w:type="paragraph" w:styleId="Heading2">
    <w:name w:val="heading 2"/>
    <w:basedOn w:val="HeadingBase"/>
    <w:next w:val="BodyText"/>
    <w:link w:val="Heading2Char"/>
    <w:qFormat/>
    <w:rsid w:val="000B2211"/>
    <w:pPr>
      <w:keepLines/>
      <w:spacing w:before="240" w:after="120"/>
      <w:outlineLvl w:val="1"/>
    </w:pPr>
    <w:rPr>
      <w:sz w:val="28"/>
      <w:szCs w:val="40"/>
    </w:rPr>
  </w:style>
  <w:style w:type="paragraph" w:styleId="Heading3">
    <w:name w:val="heading 3"/>
    <w:basedOn w:val="HeadingBase"/>
    <w:next w:val="BodyText"/>
    <w:link w:val="Heading3Char"/>
    <w:qFormat/>
    <w:rsid w:val="000B2211"/>
    <w:pPr>
      <w:spacing w:before="180" w:after="120"/>
      <w:outlineLvl w:val="2"/>
    </w:pPr>
    <w:rPr>
      <w:spacing w:val="-10"/>
      <w:kern w:val="32"/>
    </w:rPr>
  </w:style>
  <w:style w:type="paragraph" w:styleId="Heading4">
    <w:name w:val="heading 4"/>
    <w:basedOn w:val="HeadingBase"/>
    <w:next w:val="BodyText"/>
    <w:link w:val="Heading4Char"/>
    <w:qFormat/>
    <w:rsid w:val="000B2211"/>
    <w:pPr>
      <w:spacing w:before="160" w:after="120"/>
      <w:outlineLvl w:val="3"/>
    </w:pPr>
    <w:rPr>
      <w:sz w:val="22"/>
    </w:rPr>
  </w:style>
  <w:style w:type="paragraph" w:styleId="Heading5">
    <w:name w:val="heading 5"/>
    <w:basedOn w:val="HeadingBase"/>
    <w:next w:val="Normal"/>
    <w:link w:val="Heading5Char"/>
    <w:qFormat/>
    <w:rsid w:val="000B2211"/>
    <w:pPr>
      <w:spacing w:before="80"/>
      <w:outlineLvl w:val="4"/>
    </w:pPr>
    <w:rPr>
      <w:color w:val="918585"/>
      <w:sz w:val="20"/>
    </w:rPr>
  </w:style>
  <w:style w:type="paragraph" w:styleId="Heading6">
    <w:name w:val="heading 6"/>
    <w:basedOn w:val="HeadingBase"/>
    <w:next w:val="Normal"/>
    <w:link w:val="Heading6Char"/>
    <w:qFormat/>
    <w:rsid w:val="000B2211"/>
    <w:pPr>
      <w:spacing w:before="60"/>
      <w:outlineLvl w:val="5"/>
    </w:pPr>
    <w:rPr>
      <w:color w:val="918585"/>
      <w:sz w:val="20"/>
    </w:rPr>
  </w:style>
  <w:style w:type="paragraph" w:styleId="Heading7">
    <w:name w:val="heading 7"/>
    <w:basedOn w:val="Normal"/>
    <w:next w:val="Normal"/>
    <w:link w:val="Heading7Char"/>
    <w:qFormat/>
    <w:rsid w:val="000B2211"/>
    <w:pPr>
      <w:ind w:left="720"/>
      <w:outlineLvl w:val="6"/>
    </w:pPr>
    <w:rPr>
      <w:i/>
    </w:rPr>
  </w:style>
  <w:style w:type="paragraph" w:styleId="Heading8">
    <w:name w:val="heading 8"/>
    <w:basedOn w:val="Normal"/>
    <w:next w:val="Normal"/>
    <w:link w:val="Heading8Char"/>
    <w:qFormat/>
    <w:rsid w:val="000B2211"/>
    <w:pPr>
      <w:ind w:left="720"/>
      <w:outlineLvl w:val="7"/>
    </w:pPr>
    <w:rPr>
      <w:i/>
    </w:rPr>
  </w:style>
  <w:style w:type="paragraph" w:styleId="Heading9">
    <w:name w:val="heading 9"/>
    <w:basedOn w:val="Normal"/>
    <w:next w:val="Normal"/>
    <w:link w:val="Heading9Char"/>
    <w:qFormat/>
    <w:rsid w:val="000B2211"/>
    <w:pPr>
      <w:ind w:left="720"/>
      <w:outlineLvl w:val="8"/>
    </w:pPr>
    <w:rPr>
      <w:i/>
    </w:rPr>
  </w:style>
  <w:style w:type="character" w:default="1" w:styleId="DefaultParagraphFont">
    <w:name w:val="Default Paragraph Font"/>
    <w:uiPriority w:val="1"/>
    <w:unhideWhenUsed/>
    <w:rsid w:val="000B22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2211"/>
  </w:style>
  <w:style w:type="character" w:customStyle="1" w:styleId="Heading1Char">
    <w:name w:val="Heading 1 Char"/>
    <w:basedOn w:val="DefaultParagraphFont"/>
    <w:link w:val="Heading1"/>
    <w:rsid w:val="000B2211"/>
    <w:rPr>
      <w:rFonts w:ascii="Times New Roman" w:eastAsia="Times New Roman" w:hAnsi="Times New Roman" w:cs="Times New Roman"/>
      <w:b/>
      <w:sz w:val="32"/>
      <w:szCs w:val="20"/>
      <w:lang w:eastAsia="en-US"/>
    </w:rPr>
  </w:style>
  <w:style w:type="paragraph" w:styleId="BodyText">
    <w:name w:val="Body Text"/>
    <w:basedOn w:val="Normal"/>
    <w:link w:val="BodyTextChar"/>
    <w:rsid w:val="000B22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2211"/>
    <w:rPr>
      <w:rFonts w:ascii="Times New Roman" w:eastAsia="Times New Roman" w:hAnsi="Times New Roman" w:cs="Times New Roman"/>
      <w:sz w:val="24"/>
      <w:lang w:eastAsia="en-US"/>
    </w:rPr>
  </w:style>
  <w:style w:type="paragraph" w:styleId="ListBullet">
    <w:name w:val="List Bullet"/>
    <w:basedOn w:val="List"/>
    <w:rsid w:val="000B2211"/>
    <w:pPr>
      <w:numPr>
        <w:numId w:val="13"/>
      </w:numPr>
      <w:tabs>
        <w:tab w:val="clear" w:pos="340"/>
      </w:tabs>
      <w:spacing w:before="40" w:after="40"/>
    </w:pPr>
  </w:style>
  <w:style w:type="paragraph" w:styleId="ListBullet2">
    <w:name w:val="List Bullet 2"/>
    <w:basedOn w:val="List2"/>
    <w:rsid w:val="000B2211"/>
    <w:pPr>
      <w:numPr>
        <w:numId w:val="14"/>
      </w:numPr>
      <w:tabs>
        <w:tab w:val="clear" w:pos="680"/>
      </w:tabs>
    </w:pPr>
  </w:style>
  <w:style w:type="paragraph" w:customStyle="1" w:styleId="SuperHeading">
    <w:name w:val="SuperHeading"/>
    <w:basedOn w:val="Normal"/>
    <w:rsid w:val="000B2211"/>
    <w:pPr>
      <w:spacing w:before="240" w:after="120"/>
      <w:outlineLvl w:val="0"/>
    </w:pPr>
    <w:rPr>
      <w:rFonts w:ascii="Times New Roman" w:hAnsi="Times New Roman"/>
      <w:b/>
      <w:sz w:val="32"/>
    </w:rPr>
  </w:style>
  <w:style w:type="paragraph" w:customStyle="1" w:styleId="AllowPageBreak">
    <w:name w:val="AllowPageBreak"/>
    <w:rsid w:val="000B221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B2211"/>
    <w:pPr>
      <w:numPr>
        <w:numId w:val="3"/>
      </w:numPr>
      <w:tabs>
        <w:tab w:val="clear" w:pos="1021"/>
      </w:tabs>
      <w:ind w:left="1037" w:hanging="357"/>
    </w:pPr>
  </w:style>
  <w:style w:type="character" w:customStyle="1" w:styleId="Heading2Char">
    <w:name w:val="Heading 2 Char"/>
    <w:basedOn w:val="DefaultParagraphFont"/>
    <w:link w:val="Heading2"/>
    <w:rsid w:val="000B22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22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22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22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22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22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22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2211"/>
    <w:rPr>
      <w:rFonts w:ascii="Courier New" w:eastAsia="Times New Roman" w:hAnsi="Courier New" w:cs="Times New Roman"/>
      <w:i/>
      <w:szCs w:val="20"/>
      <w:lang w:eastAsia="en-US"/>
    </w:rPr>
  </w:style>
  <w:style w:type="paragraph" w:customStyle="1" w:styleId="HeadingBase">
    <w:name w:val="Heading Base"/>
    <w:rsid w:val="000B22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2211"/>
    <w:pPr>
      <w:tabs>
        <w:tab w:val="right" w:leader="dot" w:pos="9072"/>
      </w:tabs>
      <w:ind w:left="567"/>
    </w:pPr>
    <w:rPr>
      <w:szCs w:val="22"/>
    </w:rPr>
  </w:style>
  <w:style w:type="paragraph" w:customStyle="1" w:styleId="TOCBase">
    <w:name w:val="TOC Base"/>
    <w:rsid w:val="000B22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2211"/>
    <w:pPr>
      <w:tabs>
        <w:tab w:val="right" w:leader="dot" w:pos="9072"/>
      </w:tabs>
      <w:spacing w:before="40" w:after="40"/>
      <w:ind w:left="284"/>
    </w:pPr>
    <w:rPr>
      <w:rFonts w:ascii="Times New Roman" w:hAnsi="Times New Roman"/>
    </w:rPr>
  </w:style>
  <w:style w:type="paragraph" w:styleId="TOC1">
    <w:name w:val="toc 1"/>
    <w:basedOn w:val="TOCBase"/>
    <w:next w:val="Normal"/>
    <w:rsid w:val="000B22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22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2211"/>
    <w:rPr>
      <w:rFonts w:ascii="Times New Roman" w:eastAsia="Times New Roman" w:hAnsi="Times New Roman" w:cs="Times New Roman"/>
      <w:sz w:val="16"/>
      <w:lang w:eastAsia="en-US"/>
    </w:rPr>
  </w:style>
  <w:style w:type="paragraph" w:styleId="Title">
    <w:name w:val="Title"/>
    <w:basedOn w:val="HeadingBase"/>
    <w:link w:val="TitleChar"/>
    <w:qFormat/>
    <w:rsid w:val="000B2211"/>
    <w:pPr>
      <w:spacing w:before="5040"/>
      <w:jc w:val="center"/>
    </w:pPr>
    <w:rPr>
      <w:sz w:val="48"/>
      <w:szCs w:val="72"/>
      <w:lang w:val="en-US"/>
    </w:rPr>
  </w:style>
  <w:style w:type="character" w:customStyle="1" w:styleId="TitleChar">
    <w:name w:val="Title Char"/>
    <w:basedOn w:val="DefaultParagraphFont"/>
    <w:link w:val="Title"/>
    <w:rsid w:val="000B22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2211"/>
    <w:pPr>
      <w:tabs>
        <w:tab w:val="left" w:pos="3600"/>
        <w:tab w:val="left" w:pos="3958"/>
      </w:tabs>
    </w:pPr>
  </w:style>
  <w:style w:type="paragraph" w:styleId="List">
    <w:name w:val="List"/>
    <w:basedOn w:val="BodyText"/>
    <w:next w:val="BodyText"/>
    <w:rsid w:val="000B2211"/>
    <w:pPr>
      <w:tabs>
        <w:tab w:val="left" w:pos="340"/>
      </w:tabs>
      <w:spacing w:before="60" w:after="60"/>
      <w:ind w:left="340" w:hanging="340"/>
    </w:pPr>
  </w:style>
  <w:style w:type="paragraph" w:customStyle="1" w:styleId="Note">
    <w:name w:val="Note"/>
    <w:basedOn w:val="BodyText"/>
    <w:rsid w:val="000B221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B2211"/>
    <w:rPr>
      <w:b/>
      <w:spacing w:val="0"/>
    </w:rPr>
  </w:style>
  <w:style w:type="paragraph" w:customStyle="1" w:styleId="SuperTitle">
    <w:name w:val="SuperTitle"/>
    <w:basedOn w:val="Title"/>
    <w:rsid w:val="000B2211"/>
    <w:pPr>
      <w:framePr w:wrap="auto" w:hAnchor="text" w:y="6049"/>
    </w:pPr>
    <w:rPr>
      <w:color w:val="000000"/>
      <w:sz w:val="40"/>
    </w:rPr>
  </w:style>
  <w:style w:type="paragraph" w:customStyle="1" w:styleId="TOCTitle">
    <w:name w:val="TOCTitle"/>
    <w:basedOn w:val="Heading1"/>
    <w:rsid w:val="000B2211"/>
    <w:pPr>
      <w:spacing w:after="240"/>
      <w:jc w:val="center"/>
      <w:outlineLvl w:val="9"/>
    </w:pPr>
    <w:rPr>
      <w:caps/>
    </w:rPr>
  </w:style>
  <w:style w:type="paragraph" w:customStyle="1" w:styleId="Version">
    <w:name w:val="Version"/>
    <w:rsid w:val="000B22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2211"/>
    <w:pPr>
      <w:keepNext w:val="0"/>
      <w:tabs>
        <w:tab w:val="right" w:pos="4176"/>
      </w:tabs>
      <w:ind w:left="198" w:hanging="198"/>
    </w:pPr>
    <w:rPr>
      <w:rFonts w:ascii="Garamond" w:hAnsi="Garamond"/>
    </w:rPr>
  </w:style>
  <w:style w:type="paragraph" w:styleId="IndexHeading">
    <w:name w:val="index heading"/>
    <w:basedOn w:val="Normal"/>
    <w:next w:val="Index1"/>
    <w:semiHidden/>
    <w:rsid w:val="000B2211"/>
    <w:pPr>
      <w:spacing w:before="120" w:after="120"/>
    </w:pPr>
    <w:rPr>
      <w:rFonts w:ascii="Arial" w:hAnsi="Arial"/>
      <w:b/>
      <w:color w:val="918585"/>
      <w:sz w:val="24"/>
    </w:rPr>
  </w:style>
  <w:style w:type="paragraph" w:styleId="Header">
    <w:name w:val="header"/>
    <w:basedOn w:val="Normal"/>
    <w:link w:val="HeaderChar"/>
    <w:rsid w:val="000B22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2211"/>
    <w:rPr>
      <w:rFonts w:ascii="Times New Roman" w:eastAsia="Times New Roman" w:hAnsi="Times New Roman" w:cs="Times New Roman"/>
      <w:sz w:val="16"/>
      <w:szCs w:val="20"/>
      <w:lang w:val="en-GB" w:eastAsia="en-US"/>
    </w:rPr>
  </w:style>
  <w:style w:type="paragraph" w:customStyle="1" w:styleId="Chapter">
    <w:name w:val="Chapter"/>
    <w:basedOn w:val="Normal"/>
    <w:rsid w:val="000B2211"/>
    <w:pPr>
      <w:spacing w:before="240"/>
    </w:pPr>
    <w:rPr>
      <w:rFonts w:ascii="Times New Roman" w:hAnsi="Times New Roman"/>
      <w:smallCaps/>
      <w:spacing w:val="80"/>
      <w:sz w:val="28"/>
    </w:rPr>
  </w:style>
  <w:style w:type="paragraph" w:customStyle="1" w:styleId="InChapter">
    <w:name w:val="InChapter"/>
    <w:basedOn w:val="Heading3"/>
    <w:rsid w:val="000B2211"/>
    <w:pPr>
      <w:spacing w:after="240"/>
      <w:outlineLvl w:val="9"/>
    </w:pPr>
    <w:rPr>
      <w:noProof/>
    </w:rPr>
  </w:style>
  <w:style w:type="paragraph" w:styleId="Index2">
    <w:name w:val="index 2"/>
    <w:basedOn w:val="Normal"/>
    <w:next w:val="Normal"/>
    <w:semiHidden/>
    <w:rsid w:val="000B2211"/>
    <w:pPr>
      <w:tabs>
        <w:tab w:val="right" w:pos="4176"/>
      </w:tabs>
      <w:ind w:left="568" w:hanging="284"/>
    </w:pPr>
    <w:rPr>
      <w:rFonts w:ascii="Garamond" w:hAnsi="Garamond"/>
    </w:rPr>
  </w:style>
  <w:style w:type="paragraph" w:customStyle="1" w:styleId="Byline">
    <w:name w:val="Byline"/>
    <w:rsid w:val="000B22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2211"/>
    <w:pPr>
      <w:tabs>
        <w:tab w:val="clear" w:pos="3600"/>
        <w:tab w:val="clear" w:pos="3958"/>
      </w:tabs>
      <w:jc w:val="right"/>
    </w:pPr>
  </w:style>
  <w:style w:type="character" w:styleId="Emphasis">
    <w:name w:val="Emphasis"/>
    <w:basedOn w:val="DefaultParagraphFont"/>
    <w:qFormat/>
    <w:rsid w:val="000B2211"/>
    <w:rPr>
      <w:i/>
    </w:rPr>
  </w:style>
  <w:style w:type="paragraph" w:styleId="Caption">
    <w:name w:val="caption"/>
    <w:basedOn w:val="BodyText"/>
    <w:next w:val="Normal"/>
    <w:qFormat/>
    <w:rsid w:val="000B2211"/>
    <w:pPr>
      <w:framePr w:w="2268" w:hSpace="181" w:vSpace="181" w:wrap="around" w:vAnchor="text" w:hAnchor="page" w:x="1135" w:y="285" w:anchorLock="1"/>
    </w:pPr>
    <w:rPr>
      <w:i/>
    </w:rPr>
  </w:style>
  <w:style w:type="paragraph" w:customStyle="1" w:styleId="MiniTOCTitle">
    <w:name w:val="MiniTOCTitle"/>
    <w:basedOn w:val="Heading4"/>
    <w:rsid w:val="000B2211"/>
    <w:pPr>
      <w:spacing w:before="240"/>
      <w:outlineLvl w:val="9"/>
    </w:pPr>
    <w:rPr>
      <w:noProof/>
      <w:sz w:val="24"/>
    </w:rPr>
  </w:style>
  <w:style w:type="paragraph" w:customStyle="1" w:styleId="MiniTOCItem">
    <w:name w:val="MiniTOCItem"/>
    <w:basedOn w:val="ListBullet"/>
    <w:rsid w:val="000B2211"/>
    <w:pPr>
      <w:numPr>
        <w:numId w:val="0"/>
      </w:numPr>
      <w:tabs>
        <w:tab w:val="right" w:leader="dot" w:pos="6521"/>
      </w:tabs>
      <w:spacing w:before="0" w:after="0"/>
    </w:pPr>
  </w:style>
  <w:style w:type="paragraph" w:customStyle="1" w:styleId="TOFTitle">
    <w:name w:val="TOFTitle"/>
    <w:basedOn w:val="TOCTitle"/>
    <w:rsid w:val="000B2211"/>
  </w:style>
  <w:style w:type="paragraph" w:styleId="TableofFigures">
    <w:name w:val="table of figures"/>
    <w:basedOn w:val="Normal"/>
    <w:next w:val="Normal"/>
    <w:semiHidden/>
    <w:rsid w:val="000B2211"/>
    <w:pPr>
      <w:tabs>
        <w:tab w:val="right" w:leader="dot" w:pos="9072"/>
      </w:tabs>
      <w:ind w:left="970" w:hanging="403"/>
    </w:pPr>
    <w:rPr>
      <w:rFonts w:ascii="Times New Roman" w:hAnsi="Times New Roman"/>
      <w:b/>
    </w:rPr>
  </w:style>
  <w:style w:type="paragraph" w:styleId="ListNumber">
    <w:name w:val="List Number"/>
    <w:basedOn w:val="List"/>
    <w:rsid w:val="000B2211"/>
    <w:pPr>
      <w:numPr>
        <w:numId w:val="16"/>
      </w:numPr>
      <w:tabs>
        <w:tab w:val="clear" w:pos="340"/>
      </w:tabs>
    </w:pPr>
  </w:style>
  <w:style w:type="character" w:customStyle="1" w:styleId="WingdingSymbols">
    <w:name w:val="Wingding Symbols"/>
    <w:rsid w:val="000B2211"/>
    <w:rPr>
      <w:rFonts w:ascii="Wingdings" w:hAnsi="Wingdings"/>
    </w:rPr>
  </w:style>
  <w:style w:type="paragraph" w:customStyle="1" w:styleId="TableHeading">
    <w:name w:val="Table Heading"/>
    <w:basedOn w:val="HeadingBase"/>
    <w:rsid w:val="000B2211"/>
    <w:pPr>
      <w:keepLines/>
      <w:pBdr>
        <w:bottom w:val="single" w:sz="6" w:space="1" w:color="918585"/>
      </w:pBdr>
      <w:spacing w:before="240"/>
    </w:pPr>
  </w:style>
  <w:style w:type="character" w:customStyle="1" w:styleId="HotSpot">
    <w:name w:val="HotSpot"/>
    <w:rsid w:val="000B2211"/>
    <w:rPr>
      <w:color w:val="0033CC"/>
      <w:u w:val="none"/>
    </w:rPr>
  </w:style>
  <w:style w:type="paragraph" w:customStyle="1" w:styleId="BodyTextRight">
    <w:name w:val="Body Text Right"/>
    <w:basedOn w:val="BodyText"/>
    <w:rsid w:val="000B2211"/>
    <w:pPr>
      <w:spacing w:before="0" w:after="0"/>
      <w:jc w:val="right"/>
    </w:pPr>
  </w:style>
  <w:style w:type="paragraph" w:styleId="Index3">
    <w:name w:val="index 3"/>
    <w:basedOn w:val="ListNumber2"/>
    <w:next w:val="Normal"/>
    <w:semiHidden/>
    <w:rsid w:val="000B2211"/>
    <w:pPr>
      <w:numPr>
        <w:numId w:val="0"/>
      </w:numPr>
      <w:tabs>
        <w:tab w:val="right" w:leader="dot" w:pos="4176"/>
      </w:tabs>
    </w:pPr>
  </w:style>
  <w:style w:type="paragraph" w:styleId="ListNumber2">
    <w:name w:val="List Number 2"/>
    <w:basedOn w:val="List2"/>
    <w:rsid w:val="000B2211"/>
    <w:pPr>
      <w:numPr>
        <w:numId w:val="11"/>
      </w:numPr>
      <w:tabs>
        <w:tab w:val="clear" w:pos="1060"/>
      </w:tabs>
    </w:pPr>
  </w:style>
  <w:style w:type="paragraph" w:customStyle="1" w:styleId="MarginNote">
    <w:name w:val="Margin Note"/>
    <w:basedOn w:val="BodyText"/>
    <w:rsid w:val="000B22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22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22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2211"/>
    <w:rPr>
      <w:sz w:val="32"/>
    </w:rPr>
  </w:style>
  <w:style w:type="paragraph" w:customStyle="1" w:styleId="HeadingProcedure">
    <w:name w:val="Heading Procedure"/>
    <w:basedOn w:val="HeadingBase"/>
    <w:next w:val="Normal"/>
    <w:rsid w:val="000B2211"/>
    <w:pPr>
      <w:tabs>
        <w:tab w:val="left" w:pos="0"/>
      </w:tabs>
      <w:spacing w:before="120" w:after="60"/>
    </w:pPr>
    <w:rPr>
      <w:i/>
      <w:color w:val="918585"/>
      <w:sz w:val="22"/>
    </w:rPr>
  </w:style>
  <w:style w:type="paragraph" w:customStyle="1" w:styleId="TableBodyText">
    <w:name w:val="Table Body Text"/>
    <w:basedOn w:val="BodyText"/>
    <w:rsid w:val="000B2211"/>
    <w:pPr>
      <w:spacing w:before="60" w:after="60"/>
    </w:pPr>
  </w:style>
  <w:style w:type="paragraph" w:styleId="ListContinue">
    <w:name w:val="List Continue"/>
    <w:basedOn w:val="List"/>
    <w:rsid w:val="000B2211"/>
    <w:pPr>
      <w:ind w:firstLine="0"/>
    </w:pPr>
  </w:style>
  <w:style w:type="paragraph" w:customStyle="1" w:styleId="ListNote">
    <w:name w:val="List Note"/>
    <w:basedOn w:val="List"/>
    <w:rsid w:val="000B2211"/>
    <w:pPr>
      <w:pBdr>
        <w:top w:val="single" w:sz="6" w:space="2" w:color="918585"/>
        <w:bottom w:val="single" w:sz="6" w:space="2" w:color="918585"/>
      </w:pBdr>
      <w:tabs>
        <w:tab w:val="left" w:pos="1021"/>
      </w:tabs>
      <w:ind w:firstLine="0"/>
    </w:pPr>
  </w:style>
  <w:style w:type="paragraph" w:customStyle="1" w:styleId="Warning">
    <w:name w:val="Warning"/>
    <w:basedOn w:val="BodyText"/>
    <w:rsid w:val="000B2211"/>
    <w:pPr>
      <w:shd w:val="clear" w:color="auto" w:fill="D9D9D9"/>
      <w:tabs>
        <w:tab w:val="left" w:pos="992"/>
      </w:tabs>
      <w:ind w:left="119" w:right="119"/>
    </w:pPr>
    <w:rPr>
      <w:sz w:val="20"/>
    </w:rPr>
  </w:style>
  <w:style w:type="paragraph" w:customStyle="1" w:styleId="MarginIcons">
    <w:name w:val="Margin Icons"/>
    <w:basedOn w:val="BodyText"/>
    <w:rsid w:val="000B22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2211"/>
    <w:rPr>
      <w:rFonts w:ascii="Courier New" w:hAnsi="Courier New"/>
    </w:rPr>
  </w:style>
  <w:style w:type="paragraph" w:customStyle="1" w:styleId="NoteBullet">
    <w:name w:val="Note Bullet"/>
    <w:basedOn w:val="Note"/>
    <w:rsid w:val="000B2211"/>
    <w:pPr>
      <w:tabs>
        <w:tab w:val="clear" w:pos="680"/>
      </w:tabs>
      <w:spacing w:before="60" w:after="60"/>
    </w:pPr>
  </w:style>
  <w:style w:type="paragraph" w:customStyle="1" w:styleId="SubHeading2">
    <w:name w:val="SubHeading2"/>
    <w:basedOn w:val="HeadingBase"/>
    <w:rsid w:val="000B2211"/>
    <w:pPr>
      <w:spacing w:before="240" w:after="60"/>
    </w:pPr>
    <w:rPr>
      <w:sz w:val="20"/>
    </w:rPr>
  </w:style>
  <w:style w:type="paragraph" w:customStyle="1" w:styleId="SubHeading1">
    <w:name w:val="SubHeading1"/>
    <w:basedOn w:val="HeadingBase"/>
    <w:rsid w:val="000B2211"/>
    <w:pPr>
      <w:spacing w:before="240" w:after="60"/>
    </w:pPr>
    <w:rPr>
      <w:color w:val="918585"/>
      <w:sz w:val="22"/>
    </w:rPr>
  </w:style>
  <w:style w:type="paragraph" w:customStyle="1" w:styleId="SideHeading">
    <w:name w:val="Side Heading"/>
    <w:basedOn w:val="HeadingBase"/>
    <w:rsid w:val="000B22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2211"/>
    <w:pPr>
      <w:numPr>
        <w:numId w:val="12"/>
      </w:numPr>
    </w:pPr>
  </w:style>
  <w:style w:type="paragraph" w:styleId="PlainText">
    <w:name w:val="Plain Text"/>
    <w:basedOn w:val="Normal"/>
    <w:link w:val="PlainTextChar"/>
    <w:rsid w:val="000B2211"/>
    <w:rPr>
      <w:sz w:val="20"/>
    </w:rPr>
  </w:style>
  <w:style w:type="character" w:customStyle="1" w:styleId="PlainTextChar">
    <w:name w:val="Plain Text Char"/>
    <w:basedOn w:val="DefaultParagraphFont"/>
    <w:link w:val="PlainText"/>
    <w:rsid w:val="000B2211"/>
    <w:rPr>
      <w:rFonts w:ascii="Courier New" w:eastAsia="Times New Roman" w:hAnsi="Courier New" w:cs="Times New Roman"/>
      <w:sz w:val="20"/>
      <w:szCs w:val="20"/>
      <w:lang w:eastAsia="en-US"/>
    </w:rPr>
  </w:style>
  <w:style w:type="character" w:customStyle="1" w:styleId="MenuOption">
    <w:name w:val="Menu Option"/>
    <w:basedOn w:val="DefaultParagraphFont"/>
    <w:rsid w:val="000B2211"/>
    <w:rPr>
      <w:b/>
      <w:smallCaps/>
    </w:rPr>
  </w:style>
  <w:style w:type="paragraph" w:customStyle="1" w:styleId="TableListNumber">
    <w:name w:val="Table List Number"/>
    <w:basedOn w:val="ListNumber"/>
    <w:rsid w:val="000B2211"/>
    <w:pPr>
      <w:numPr>
        <w:numId w:val="0"/>
      </w:numPr>
    </w:pPr>
  </w:style>
  <w:style w:type="paragraph" w:styleId="TOC4">
    <w:name w:val="toc 4"/>
    <w:basedOn w:val="TOCBase"/>
    <w:next w:val="Normal"/>
    <w:semiHidden/>
    <w:rsid w:val="000B2211"/>
    <w:pPr>
      <w:tabs>
        <w:tab w:val="right" w:leader="dot" w:pos="9071"/>
      </w:tabs>
      <w:ind w:left="1701"/>
    </w:pPr>
  </w:style>
  <w:style w:type="paragraph" w:customStyle="1" w:styleId="ListAlpha">
    <w:name w:val="List Alpha"/>
    <w:basedOn w:val="List"/>
    <w:rsid w:val="000B2211"/>
    <w:pPr>
      <w:numPr>
        <w:numId w:val="10"/>
      </w:numPr>
    </w:pPr>
  </w:style>
  <w:style w:type="paragraph" w:customStyle="1" w:styleId="ListAlpha2">
    <w:name w:val="List Alpha 2"/>
    <w:basedOn w:val="List2"/>
    <w:rsid w:val="000B2211"/>
    <w:pPr>
      <w:numPr>
        <w:numId w:val="9"/>
      </w:numPr>
    </w:pPr>
  </w:style>
  <w:style w:type="paragraph" w:styleId="List2">
    <w:name w:val="List 2"/>
    <w:basedOn w:val="BodyText"/>
    <w:rsid w:val="000B2211"/>
    <w:pPr>
      <w:tabs>
        <w:tab w:val="left" w:pos="680"/>
      </w:tabs>
      <w:spacing w:before="60" w:after="60"/>
      <w:ind w:left="680" w:hanging="340"/>
    </w:pPr>
  </w:style>
  <w:style w:type="paragraph" w:styleId="List3">
    <w:name w:val="List 3"/>
    <w:basedOn w:val="BodyText"/>
    <w:rsid w:val="000B2211"/>
    <w:pPr>
      <w:tabs>
        <w:tab w:val="left" w:pos="1021"/>
      </w:tabs>
      <w:spacing w:before="60" w:after="60"/>
      <w:ind w:left="1020" w:hanging="340"/>
    </w:pPr>
  </w:style>
  <w:style w:type="paragraph" w:styleId="List4">
    <w:name w:val="List 4"/>
    <w:basedOn w:val="BodyText"/>
    <w:rsid w:val="000B2211"/>
    <w:pPr>
      <w:tabs>
        <w:tab w:val="left" w:pos="1361"/>
      </w:tabs>
      <w:spacing w:before="60" w:after="60"/>
      <w:ind w:left="1361" w:hanging="340"/>
    </w:pPr>
  </w:style>
  <w:style w:type="paragraph" w:styleId="List5">
    <w:name w:val="List 5"/>
    <w:basedOn w:val="BodyText"/>
    <w:rsid w:val="000B2211"/>
    <w:pPr>
      <w:tabs>
        <w:tab w:val="left" w:pos="1701"/>
      </w:tabs>
      <w:spacing w:before="60" w:after="60"/>
      <w:ind w:left="1701" w:hanging="340"/>
    </w:pPr>
  </w:style>
  <w:style w:type="paragraph" w:styleId="ListBullet4">
    <w:name w:val="List Bullet 4"/>
    <w:basedOn w:val="List4"/>
    <w:rsid w:val="000B2211"/>
    <w:pPr>
      <w:numPr>
        <w:numId w:val="4"/>
      </w:numPr>
      <w:tabs>
        <w:tab w:val="clear" w:pos="1361"/>
      </w:tabs>
    </w:pPr>
  </w:style>
  <w:style w:type="paragraph" w:styleId="ListBullet5">
    <w:name w:val="List Bullet 5"/>
    <w:basedOn w:val="List5"/>
    <w:rsid w:val="000B2211"/>
    <w:pPr>
      <w:numPr>
        <w:numId w:val="5"/>
      </w:numPr>
    </w:pPr>
  </w:style>
  <w:style w:type="paragraph" w:styleId="ListContinue2">
    <w:name w:val="List Continue 2"/>
    <w:basedOn w:val="List2"/>
    <w:rsid w:val="000B2211"/>
    <w:pPr>
      <w:ind w:firstLine="0"/>
    </w:pPr>
  </w:style>
  <w:style w:type="paragraph" w:styleId="ListContinue3">
    <w:name w:val="List Continue 3"/>
    <w:basedOn w:val="List3"/>
    <w:rsid w:val="000B2211"/>
    <w:pPr>
      <w:ind w:left="1021" w:firstLine="0"/>
    </w:pPr>
  </w:style>
  <w:style w:type="paragraph" w:styleId="ListContinue4">
    <w:name w:val="List Continue 4"/>
    <w:basedOn w:val="List4"/>
    <w:rsid w:val="000B2211"/>
    <w:pPr>
      <w:ind w:firstLine="0"/>
    </w:pPr>
  </w:style>
  <w:style w:type="paragraph" w:styleId="ListContinue5">
    <w:name w:val="List Continue 5"/>
    <w:basedOn w:val="List5"/>
    <w:rsid w:val="000B2211"/>
    <w:pPr>
      <w:ind w:firstLine="0"/>
    </w:pPr>
  </w:style>
  <w:style w:type="paragraph" w:styleId="ListNumber3">
    <w:name w:val="List Number 3"/>
    <w:basedOn w:val="List3"/>
    <w:rsid w:val="000B2211"/>
    <w:pPr>
      <w:numPr>
        <w:numId w:val="6"/>
      </w:numPr>
    </w:pPr>
  </w:style>
  <w:style w:type="paragraph" w:styleId="ListNumber4">
    <w:name w:val="List Number 4"/>
    <w:basedOn w:val="List4"/>
    <w:rsid w:val="000B2211"/>
    <w:pPr>
      <w:numPr>
        <w:numId w:val="7"/>
      </w:numPr>
    </w:pPr>
  </w:style>
  <w:style w:type="paragraph" w:styleId="ListNumber5">
    <w:name w:val="List Number 5"/>
    <w:basedOn w:val="List5"/>
    <w:rsid w:val="000B2211"/>
    <w:pPr>
      <w:numPr>
        <w:numId w:val="8"/>
      </w:numPr>
    </w:pPr>
  </w:style>
  <w:style w:type="paragraph" w:styleId="BlockText">
    <w:name w:val="Block Text"/>
    <w:basedOn w:val="Normal"/>
    <w:rsid w:val="000B2211"/>
    <w:pPr>
      <w:spacing w:after="120"/>
      <w:ind w:left="1440" w:right="1440"/>
    </w:pPr>
  </w:style>
  <w:style w:type="character" w:customStyle="1" w:styleId="Subscript">
    <w:name w:val="Subscript"/>
    <w:basedOn w:val="DefaultParagraphFont"/>
    <w:rsid w:val="000B2211"/>
    <w:rPr>
      <w:sz w:val="16"/>
      <w:vertAlign w:val="subscript"/>
    </w:rPr>
  </w:style>
  <w:style w:type="character" w:customStyle="1" w:styleId="Superscript">
    <w:name w:val="Superscript"/>
    <w:basedOn w:val="DefaultParagraphFont"/>
    <w:rsid w:val="000B2211"/>
    <w:rPr>
      <w:sz w:val="16"/>
      <w:vertAlign w:val="superscript"/>
    </w:rPr>
  </w:style>
  <w:style w:type="character" w:customStyle="1" w:styleId="Symbols">
    <w:name w:val="Symbols"/>
    <w:basedOn w:val="DefaultParagraphFont"/>
    <w:rsid w:val="000B2211"/>
    <w:rPr>
      <w:rFonts w:ascii="Symbol" w:hAnsi="Symbol"/>
    </w:rPr>
  </w:style>
  <w:style w:type="character" w:customStyle="1" w:styleId="MenuOptions">
    <w:name w:val="Menu Options"/>
    <w:basedOn w:val="DefaultParagraphFont"/>
    <w:rsid w:val="000B2211"/>
    <w:rPr>
      <w:rFonts w:ascii="Arial Narrow" w:hAnsi="Arial Narrow"/>
      <w:smallCaps/>
    </w:rPr>
  </w:style>
  <w:style w:type="character" w:customStyle="1" w:styleId="Buttons">
    <w:name w:val="Buttons"/>
    <w:basedOn w:val="DefaultParagraphFont"/>
    <w:rsid w:val="000B2211"/>
    <w:rPr>
      <w:b/>
    </w:rPr>
  </w:style>
  <w:style w:type="character" w:customStyle="1" w:styleId="Underlined">
    <w:name w:val="Underlined"/>
    <w:basedOn w:val="DefaultParagraphFont"/>
    <w:rsid w:val="000B2211"/>
    <w:rPr>
      <w:u w:val="single"/>
    </w:rPr>
  </w:style>
  <w:style w:type="paragraph" w:customStyle="1" w:styleId="TableBodyTextRight">
    <w:name w:val="Table Body Text Right"/>
    <w:basedOn w:val="TableBodyText"/>
    <w:rsid w:val="000B2211"/>
    <w:pPr>
      <w:widowControl w:val="0"/>
      <w:autoSpaceDE w:val="0"/>
      <w:autoSpaceDN w:val="0"/>
      <w:adjustRightInd w:val="0"/>
      <w:jc w:val="right"/>
    </w:pPr>
    <w:rPr>
      <w:rFonts w:cs="Arial"/>
      <w:szCs w:val="18"/>
    </w:rPr>
  </w:style>
  <w:style w:type="paragraph" w:customStyle="1" w:styleId="CopyrightText">
    <w:name w:val="Copyright Text"/>
    <w:basedOn w:val="BodyText"/>
    <w:rsid w:val="000B2211"/>
    <w:rPr>
      <w:sz w:val="18"/>
    </w:rPr>
  </w:style>
  <w:style w:type="paragraph" w:customStyle="1" w:styleId="BodySmallRight">
    <w:name w:val="Body Small Right"/>
    <w:basedOn w:val="BodyTextRight"/>
    <w:rsid w:val="000B2211"/>
    <w:rPr>
      <w:sz w:val="18"/>
      <w:szCs w:val="18"/>
    </w:rPr>
  </w:style>
  <w:style w:type="paragraph" w:customStyle="1" w:styleId="MarginEdition">
    <w:name w:val="Margin Edition"/>
    <w:basedOn w:val="MarginNote"/>
    <w:rsid w:val="000B2211"/>
    <w:pPr>
      <w:spacing w:before="0" w:after="0"/>
    </w:pPr>
    <w:rPr>
      <w:rFonts w:ascii="Times New Roman" w:hAnsi="Times New Roman"/>
      <w:color w:val="999999"/>
    </w:rPr>
  </w:style>
  <w:style w:type="paragraph" w:customStyle="1" w:styleId="Spacer">
    <w:name w:val="Spacer"/>
    <w:basedOn w:val="Normal"/>
    <w:rsid w:val="000B2211"/>
    <w:rPr>
      <w:sz w:val="2"/>
      <w:szCs w:val="2"/>
    </w:rPr>
  </w:style>
  <w:style w:type="character" w:customStyle="1" w:styleId="Small">
    <w:name w:val="Small"/>
    <w:basedOn w:val="DefaultParagraphFont"/>
    <w:rsid w:val="000B2211"/>
    <w:rPr>
      <w:sz w:val="16"/>
    </w:rPr>
  </w:style>
  <w:style w:type="paragraph" w:customStyle="1" w:styleId="WideTable">
    <w:name w:val="Wide Table"/>
    <w:basedOn w:val="Normal"/>
    <w:rsid w:val="000B2211"/>
    <w:pPr>
      <w:ind w:left="-1418"/>
    </w:pPr>
    <w:rPr>
      <w:sz w:val="2"/>
      <w:szCs w:val="2"/>
    </w:rPr>
  </w:style>
  <w:style w:type="character" w:styleId="PageNumber">
    <w:name w:val="page number"/>
    <w:basedOn w:val="DefaultParagraphFont"/>
    <w:rsid w:val="000B2211"/>
  </w:style>
  <w:style w:type="paragraph" w:styleId="Quote">
    <w:name w:val="Quote"/>
    <w:basedOn w:val="Heading1"/>
    <w:link w:val="QuoteChar"/>
    <w:qFormat/>
    <w:rsid w:val="000B2211"/>
    <w:rPr>
      <w:b w:val="0"/>
      <w:sz w:val="72"/>
      <w:szCs w:val="72"/>
      <w:lang w:val="en-NZ"/>
    </w:rPr>
  </w:style>
  <w:style w:type="character" w:customStyle="1" w:styleId="QuoteChar">
    <w:name w:val="Quote Char"/>
    <w:basedOn w:val="DefaultParagraphFont"/>
    <w:link w:val="Quote"/>
    <w:rsid w:val="000B22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2211"/>
    <w:pPr>
      <w:pageBreakBefore/>
    </w:pPr>
  </w:style>
  <w:style w:type="paragraph" w:customStyle="1" w:styleId="Border">
    <w:name w:val="Border"/>
    <w:basedOn w:val="Normal"/>
    <w:qFormat/>
    <w:rsid w:val="000B22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2211"/>
    <w:rPr>
      <w:b/>
      <w:bCs/>
      <w:i/>
      <w:iCs/>
      <w:color w:val="auto"/>
    </w:rPr>
  </w:style>
  <w:style w:type="paragraph" w:styleId="IntenseQuote">
    <w:name w:val="Intense Quote"/>
    <w:basedOn w:val="Normal"/>
    <w:next w:val="Normal"/>
    <w:link w:val="IntenseQuoteChar"/>
    <w:uiPriority w:val="30"/>
    <w:qFormat/>
    <w:rsid w:val="000B22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22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2211"/>
    <w:rPr>
      <w:smallCaps/>
      <w:color w:val="auto"/>
      <w:u w:val="single"/>
    </w:rPr>
  </w:style>
  <w:style w:type="character" w:styleId="IntenseReference">
    <w:name w:val="Intense Reference"/>
    <w:basedOn w:val="DefaultParagraphFont"/>
    <w:uiPriority w:val="32"/>
    <w:qFormat/>
    <w:rsid w:val="000B2211"/>
    <w:rPr>
      <w:b/>
      <w:bCs/>
      <w:smallCaps/>
      <w:color w:val="auto"/>
      <w:spacing w:val="5"/>
      <w:u w:val="single"/>
    </w:rPr>
  </w:style>
  <w:style w:type="paragraph" w:customStyle="1" w:styleId="2ColumnHeading">
    <w:name w:val="2Column Heading"/>
    <w:basedOn w:val="BodyText"/>
    <w:qFormat/>
    <w:rsid w:val="000B2211"/>
    <w:pPr>
      <w:spacing w:after="60"/>
      <w:ind w:left="-2268"/>
    </w:pPr>
    <w:rPr>
      <w:b/>
    </w:rPr>
  </w:style>
  <w:style w:type="paragraph" w:customStyle="1" w:styleId="Heading1TOC">
    <w:name w:val="Heading1 TOC"/>
    <w:basedOn w:val="Normal"/>
    <w:qFormat/>
    <w:rsid w:val="000B2211"/>
    <w:pPr>
      <w:spacing w:before="240" w:after="120"/>
    </w:pPr>
    <w:rPr>
      <w:rFonts w:ascii="Times New Roman" w:hAnsi="Times New Roman"/>
      <w:b/>
      <w:sz w:val="32"/>
    </w:rPr>
  </w:style>
  <w:style w:type="paragraph" w:customStyle="1" w:styleId="Heading2TOC">
    <w:name w:val="Heading2 TOC"/>
    <w:basedOn w:val="Normal"/>
    <w:qFormat/>
    <w:rsid w:val="000B2211"/>
    <w:pPr>
      <w:spacing w:before="240" w:after="60"/>
    </w:pPr>
    <w:rPr>
      <w:rFonts w:ascii="Times New Roman" w:hAnsi="Times New Roman"/>
      <w:b/>
      <w:sz w:val="28"/>
    </w:rPr>
  </w:style>
  <w:style w:type="character" w:customStyle="1" w:styleId="Underline">
    <w:name w:val="Underline"/>
    <w:basedOn w:val="DefaultParagraphFont"/>
    <w:qFormat/>
    <w:rsid w:val="000B2211"/>
    <w:rPr>
      <w:u w:val="single"/>
    </w:rPr>
  </w:style>
  <w:style w:type="character" w:customStyle="1" w:styleId="BoldandItalics">
    <w:name w:val="Bold and Italics"/>
    <w:qFormat/>
    <w:rsid w:val="000B2211"/>
    <w:rPr>
      <w:b/>
      <w:i/>
      <w:u w:val="none"/>
    </w:rPr>
  </w:style>
  <w:style w:type="paragraph" w:styleId="BalloonText">
    <w:name w:val="Balloon Text"/>
    <w:basedOn w:val="Normal"/>
    <w:link w:val="BalloonTextChar"/>
    <w:rsid w:val="000B2211"/>
    <w:rPr>
      <w:rFonts w:ascii="Tahoma" w:hAnsi="Tahoma" w:cs="Tahoma"/>
      <w:sz w:val="16"/>
      <w:szCs w:val="16"/>
    </w:rPr>
  </w:style>
  <w:style w:type="character" w:customStyle="1" w:styleId="BalloonTextChar">
    <w:name w:val="Balloon Text Char"/>
    <w:basedOn w:val="DefaultParagraphFont"/>
    <w:link w:val="BalloonText"/>
    <w:rsid w:val="000B22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22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22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2211"/>
    <w:rPr>
      <w:b/>
      <w:color w:val="660033"/>
      <w:spacing w:val="0"/>
    </w:rPr>
  </w:style>
  <w:style w:type="paragraph" w:customStyle="1" w:styleId="Nameditemlist">
    <w:name w:val="Named item list"/>
    <w:basedOn w:val="BodyText"/>
    <w:qFormat/>
    <w:rsid w:val="000B2211"/>
    <w:pPr>
      <w:tabs>
        <w:tab w:val="left" w:pos="2835"/>
      </w:tabs>
      <w:ind w:left="2835" w:hanging="2835"/>
    </w:pPr>
  </w:style>
  <w:style w:type="paragraph" w:customStyle="1" w:styleId="BodyTextnopadding">
    <w:name w:val="Body Text no padding"/>
    <w:basedOn w:val="BodyText"/>
    <w:qFormat/>
    <w:rsid w:val="000B2211"/>
    <w:pPr>
      <w:spacing w:before="0" w:after="0"/>
    </w:pPr>
  </w:style>
  <w:style w:type="paragraph" w:customStyle="1" w:styleId="BodyTextBold">
    <w:name w:val="Body Text Bold"/>
    <w:basedOn w:val="BodyText"/>
    <w:qFormat/>
    <w:rsid w:val="000B2211"/>
    <w:rPr>
      <w:b/>
    </w:rPr>
  </w:style>
  <w:style w:type="character" w:styleId="Hyperlink">
    <w:name w:val="Hyperlink"/>
    <w:basedOn w:val="DefaultParagraphFont"/>
    <w:uiPriority w:val="99"/>
    <w:unhideWhenUsed/>
    <w:rsid w:val="008F7F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984</Words>
  <Characters>6318</Characters>
  <Application>Microsoft Office Word</Application>
  <DocSecurity>0</DocSecurity>
  <Lines>154</Lines>
  <Paragraphs>97</Paragraphs>
  <ScaleCrop>false</ScaleCrop>
  <Company>Author-it Software Corporation Ltd.</Company>
  <LinksUpToDate>false</LinksUpToDate>
  <CharactersWithSpaces>7205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RIIMCU505D Implement the inrush management plan</dc:title>
  <dc:subject>Approved</dc:subject>
  <dc:creator>PwC’s Skills for Australia</dc:creator>
  <cp:keywords>Release: 2</cp:keywords>
  <dc:description>Review Date: 12 April 2008</dc:description>
  <cp:lastModifiedBy>HSD_TPCMSd.prod</cp:lastModifiedBy>
  <cp:revision>3</cp:revision>
  <dcterms:created xsi:type="dcterms:W3CDTF">2020-07-08T07:09:00Z</dcterms:created>
  <dcterms:modified xsi:type="dcterms:W3CDTF">2020-07-08T07:09:00Z</dcterms:modified>
</cp:coreProperties>
</file>