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F79" w:rsidP="00640F79">
      <w:pPr>
        <w:pStyle w:val="Title"/>
      </w:pPr>
      <w:r>
        <w:fldChar w:fldCharType="begin"/>
      </w:r>
      <w:r>
        <w:instrText xml:space="preserve"> TITLE   \* MERGEFORMAT </w:instrText>
      </w:r>
      <w:r>
        <w:fldChar w:fldCharType="separate"/>
      </w:r>
      <w:r>
        <w:t>Assessment Requirements for RIIMCU503D Implement the gas drainage management plan</w:t>
      </w:r>
      <w:r>
        <w:fldChar w:fldCharType="end"/>
      </w:r>
    </w:p>
    <w:p w:rsidR="00640F79" w:rsidP="00640F79">
      <w:pPr>
        <w:pStyle w:val="Version"/>
        <w:sectPr w:rsidSect="002053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537E" w:rsidP="0020537E">
      <w:pPr>
        <w:pStyle w:val="SuperHeading"/>
      </w:pPr>
      <w:r w:rsidRPr="0020537E">
        <w:t>Assessment Requirements for RIIMCU503D Implement the gas drainage management plan</w:t>
      </w:r>
    </w:p>
    <w:p w:rsidR="00000000" w:rsidRPr="0020537E" w:rsidP="0020537E">
      <w:pPr>
        <w:pStyle w:val="Heading1"/>
      </w:pPr>
      <w:bookmarkStart w:id="1" w:name="O_689838"/>
      <w:bookmarkEnd w:id="1"/>
      <w:r w:rsidRPr="0020537E">
        <w:t>Modification History</w:t>
      </w:r>
    </w:p>
    <w:tbl>
      <w:tblPr>
        <w:tblW w:w="9270" w:type="dxa"/>
        <w:tblLayout w:type="fixed"/>
        <w:tblCellMar>
          <w:left w:w="62" w:type="dxa"/>
          <w:right w:w="62" w:type="dxa"/>
        </w:tblCellMar>
        <w:tblLook w:val="0000"/>
      </w:tblPr>
      <w:tblGrid>
        <w:gridCol w:w="1170"/>
        <w:gridCol w:w="8100"/>
      </w:tblGrid>
      <w:tr w:rsidTr="00640F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7E">
            <w:pPr>
              <w:pStyle w:val="BodyText"/>
              <w:rPr>
                <w:lang w:val="en-NZ"/>
              </w:rPr>
            </w:pPr>
            <w:r w:rsidRPr="0020537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7E">
            <w:pPr>
              <w:pStyle w:val="BodyText"/>
              <w:rPr>
                <w:lang w:val="en-NZ"/>
              </w:rPr>
            </w:pPr>
            <w:r w:rsidRPr="0020537E">
              <w:t>Comment</w:t>
            </w:r>
          </w:p>
        </w:tc>
      </w:tr>
      <w:tr w:rsidTr="00640F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7E">
            <w:pPr>
              <w:pStyle w:val="BodyText"/>
              <w:rPr>
                <w:lang w:val="en-NZ"/>
              </w:rPr>
            </w:pPr>
            <w:r w:rsidRPr="0020537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7E">
            <w:pPr>
              <w:pStyle w:val="BodyText"/>
              <w:rPr>
                <w:lang w:val="en-NZ"/>
              </w:rPr>
            </w:pPr>
            <w:r w:rsidRPr="0020537E">
              <w:t>This unit replaces RIIMCU503A Implement the gas drainage management plan</w:t>
            </w:r>
          </w:p>
        </w:tc>
      </w:tr>
      <w:tr w:rsidTr="00640F79">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7E">
            <w:pPr>
              <w:pStyle w:val="BodyText"/>
              <w:rPr>
                <w:lang w:val="en-NZ"/>
              </w:rPr>
            </w:pPr>
            <w:r w:rsidRPr="0020537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7E" w:rsidP="0020537E">
            <w:pPr>
              <w:pStyle w:val="BodyText"/>
            </w:pPr>
            <w:r w:rsidRPr="0020537E">
              <w:t>Required frequency and volume of evidence amended in Performance evidence.</w:t>
            </w:r>
            <w:r w:rsidRPr="0020537E">
              <w:br/>
              <w:t>Substantial amendments made in Assessment Conditions field, including: references to Industry Sectors, assessor and subject matter expert experience requirements, how assessment sho</w:t>
            </w:r>
            <w:r w:rsidRPr="0020537E">
              <w:t>uld be conducted and what it should confirm.</w:t>
            </w:r>
          </w:p>
        </w:tc>
      </w:tr>
    </w:tbl>
    <w:p w:rsidR="00000000" w:rsidRPr="0020537E" w:rsidP="0020537E">
      <w:pPr>
        <w:pStyle w:val="BodyText"/>
      </w:pPr>
    </w:p>
    <w:p w:rsidR="00000000" w:rsidRPr="0020537E" w:rsidP="0020537E">
      <w:pPr>
        <w:pStyle w:val="AllowPageBreak"/>
      </w:pPr>
    </w:p>
    <w:p w:rsidR="00000000" w:rsidRPr="0020537E" w:rsidP="0020537E">
      <w:pPr>
        <w:pStyle w:val="Heading1"/>
      </w:pPr>
      <w:bookmarkStart w:id="2" w:name="O_689837"/>
      <w:bookmarkEnd w:id="2"/>
      <w:r w:rsidRPr="0020537E">
        <w:t>Performance Evidence</w:t>
      </w:r>
    </w:p>
    <w:p w:rsidR="00000000" w:rsidRPr="0020537E" w:rsidP="00640F79">
      <w:pPr>
        <w:pStyle w:val="BodyText"/>
      </w:pPr>
      <w:r w:rsidRPr="0020537E">
        <w:t>Evidence is required to be collected that demonstrates a candidate’s competency in this unit. Evidence must be relevant to the roles within this sector’s work operations a</w:t>
      </w:r>
      <w:r w:rsidRPr="0020537E">
        <w:t>nd satisfy all of the requirements of the performance criteria of this unit and include evidence that the candidate:</w:t>
      </w:r>
    </w:p>
    <w:p w:rsidR="00000000" w:rsidRPr="0020537E" w:rsidP="0020537E">
      <w:pPr>
        <w:pStyle w:val="ListBullet"/>
      </w:pPr>
      <w:r w:rsidRPr="0020537E">
        <w:t>locates and applies relevant legislation, documentation, policies and procedures</w:t>
      </w:r>
    </w:p>
    <w:p w:rsidR="00000000" w:rsidRPr="0020537E" w:rsidP="0020537E">
      <w:pPr>
        <w:pStyle w:val="ListBullet"/>
      </w:pPr>
      <w:r w:rsidRPr="0020537E">
        <w:t>implements the procedures a</w:t>
      </w:r>
      <w:r w:rsidRPr="0020537E">
        <w:t>nd techniques for the safe, effective and efficient implementation of the gas drainage management plan including:</w:t>
      </w:r>
    </w:p>
    <w:p w:rsidR="00000000" w:rsidRPr="0020537E" w:rsidP="0020537E">
      <w:pPr>
        <w:pStyle w:val="ListBullet3"/>
      </w:pPr>
      <w:r w:rsidRPr="0020537E">
        <w:t>planning and coordinating work to meet site/legislative requirements</w:t>
      </w:r>
    </w:p>
    <w:p w:rsidR="00000000" w:rsidRPr="0020537E" w:rsidP="0020537E">
      <w:pPr>
        <w:pStyle w:val="ListBullet3"/>
      </w:pPr>
      <w:r w:rsidRPr="0020537E">
        <w:t>operating hand held monitoring equipment</w:t>
      </w:r>
    </w:p>
    <w:p w:rsidR="00000000" w:rsidRPr="0020537E" w:rsidP="0020537E">
      <w:pPr>
        <w:pStyle w:val="ListBullet3"/>
      </w:pPr>
      <w:r w:rsidRPr="0020537E">
        <w:t>accessing, evaluating and apply</w:t>
      </w:r>
      <w:r w:rsidRPr="0020537E">
        <w:t>ing design criteria for gas drainage systems and devices</w:t>
      </w:r>
    </w:p>
    <w:p w:rsidR="00000000" w:rsidRPr="0020537E" w:rsidP="0020537E">
      <w:pPr>
        <w:pStyle w:val="ListBullet3"/>
      </w:pPr>
      <w:r w:rsidRPr="0020537E">
        <w:t>collecting, collating and evaluating gas drainage data</w:t>
      </w:r>
    </w:p>
    <w:p w:rsidR="00000000" w:rsidRPr="0020537E" w:rsidP="0020537E">
      <w:pPr>
        <w:pStyle w:val="ListBullet3"/>
      </w:pPr>
      <w:r w:rsidRPr="0020537E">
        <w:t>completing gas drainage planning mathematical calculations</w:t>
      </w:r>
    </w:p>
    <w:p w:rsidR="00000000" w:rsidRPr="0020537E" w:rsidP="0020537E">
      <w:pPr>
        <w:pStyle w:val="ListBullet3"/>
      </w:pPr>
      <w:r w:rsidRPr="0020537E">
        <w:t>interpreting geological information</w:t>
      </w:r>
    </w:p>
    <w:p w:rsidR="00000000" w:rsidRPr="0020537E" w:rsidP="0020537E">
      <w:pPr>
        <w:pStyle w:val="ListBullet3"/>
      </w:pPr>
      <w:r w:rsidRPr="0020537E">
        <w:t>preparing records and reports</w:t>
      </w:r>
    </w:p>
    <w:p w:rsidR="00000000" w:rsidRPr="0020537E" w:rsidP="0020537E">
      <w:pPr>
        <w:pStyle w:val="ListBullet3"/>
      </w:pPr>
      <w:r w:rsidRPr="0020537E">
        <w:t>applying the princi</w:t>
      </w:r>
      <w:r w:rsidRPr="0020537E">
        <w:t>ples of mine design</w:t>
      </w:r>
    </w:p>
    <w:p w:rsidR="00000000" w:rsidRPr="0020537E" w:rsidP="0020537E">
      <w:pPr>
        <w:pStyle w:val="ListBullet"/>
      </w:pPr>
      <w:r w:rsidRPr="0020537E">
        <w:t>works with others to undertake and complete the implementation of the gas drainage management plan that meets all of the required outcomes including:</w:t>
      </w:r>
    </w:p>
    <w:p w:rsidR="00000000" w:rsidRPr="0020537E" w:rsidP="0020537E">
      <w:pPr>
        <w:pStyle w:val="ListBullet3"/>
      </w:pPr>
      <w:r w:rsidRPr="0020537E">
        <w:t>communicating clearly and concisely with others to receive and clarify work instruct</w:t>
      </w:r>
      <w:r w:rsidRPr="0020537E">
        <w:t>ions, and convey work progress</w:t>
      </w:r>
    </w:p>
    <w:p w:rsidR="00000000" w:rsidRPr="0020537E" w:rsidP="0020537E">
      <w:pPr>
        <w:pStyle w:val="ListBullet3"/>
      </w:pPr>
      <w:r w:rsidRPr="0020537E">
        <w:t>identifying the relevant information and scope of the work necessary to meet the required outcomes</w:t>
      </w:r>
    </w:p>
    <w:p w:rsidR="00000000" w:rsidRPr="0020537E" w:rsidP="0020537E">
      <w:pPr>
        <w:pStyle w:val="ListBullet3"/>
      </w:pPr>
      <w:r w:rsidRPr="0020537E">
        <w:t>developing procedures appropriate to mine operations for management of gas drainage</w:t>
      </w:r>
    </w:p>
    <w:p w:rsidR="00000000" w:rsidRPr="0020537E" w:rsidP="0020537E">
      <w:pPr>
        <w:pStyle w:val="ListBullet3"/>
      </w:pPr>
      <w:r w:rsidRPr="0020537E">
        <w:t xml:space="preserve">identifying training needs related to the </w:t>
      </w:r>
      <w:r w:rsidRPr="0020537E">
        <w:t>gas drainage</w:t>
      </w:r>
    </w:p>
    <w:p w:rsidR="00000000" w:rsidRPr="0020537E" w:rsidP="0020537E">
      <w:pPr>
        <w:pStyle w:val="ListBullet3"/>
      </w:pPr>
      <w:r w:rsidRPr="0020537E">
        <w:t>preparing and interpreting briefings and handover details</w:t>
      </w:r>
    </w:p>
    <w:p w:rsidR="00000000" w:rsidRPr="0020537E" w:rsidP="0020537E">
      <w:pPr>
        <w:pStyle w:val="ListBullet"/>
      </w:pPr>
      <w:r w:rsidRPr="0020537E">
        <w:t xml:space="preserve">demonstrates completion of implementing the gas drainage management plan that safely, effectively </w:t>
      </w:r>
      <w:r w:rsidRPr="0020537E">
        <w:t>and efficiently meets all of the required outcomes on more than one (1) occasion including:</w:t>
      </w:r>
    </w:p>
    <w:p w:rsidR="00000000" w:rsidRPr="0020537E" w:rsidP="0020537E">
      <w:pPr>
        <w:pStyle w:val="ListBullet3"/>
      </w:pPr>
      <w:r w:rsidRPr="0020537E">
        <w:t>identifying viable options and selecting the gas drainage management plan elements that best meet the required outcomes</w:t>
      </w:r>
    </w:p>
    <w:p w:rsidR="00000000" w:rsidRPr="0020537E" w:rsidP="0020537E">
      <w:pPr>
        <w:pStyle w:val="ListBullet3"/>
      </w:pPr>
      <w:r w:rsidRPr="0020537E">
        <w:t>conducting enquiries/investigations and pre</w:t>
      </w:r>
      <w:r w:rsidRPr="0020537E">
        <w:t>paring reports</w:t>
      </w:r>
    </w:p>
    <w:p w:rsidR="00000000" w:rsidRPr="0020537E" w:rsidP="0020537E">
      <w:pPr>
        <w:pStyle w:val="ListBullet3"/>
      </w:pPr>
      <w:r w:rsidRPr="0020537E">
        <w:t>establishing technical procedures relating to gas drainage</w:t>
      </w:r>
    </w:p>
    <w:p w:rsidR="00000000" w:rsidRPr="0020537E" w:rsidP="0020537E">
      <w:pPr>
        <w:pStyle w:val="ListBullet3"/>
      </w:pPr>
      <w:r w:rsidRPr="0020537E">
        <w:t>assessing the risks and consequences of gas drainage</w:t>
      </w:r>
    </w:p>
    <w:p w:rsidR="00000000" w:rsidRPr="0020537E" w:rsidP="0020537E">
      <w:pPr>
        <w:pStyle w:val="AllowPageBreak"/>
      </w:pPr>
    </w:p>
    <w:p w:rsidR="00000000" w:rsidRPr="0020537E" w:rsidP="0020537E">
      <w:pPr>
        <w:pStyle w:val="Heading1"/>
      </w:pPr>
      <w:bookmarkStart w:id="3" w:name="O_689836"/>
      <w:bookmarkEnd w:id="3"/>
      <w:r w:rsidRPr="0020537E">
        <w:t>Knowledge Evidence</w:t>
      </w:r>
    </w:p>
    <w:p w:rsidR="00000000" w:rsidRPr="0020537E" w:rsidP="00640F79">
      <w:pPr>
        <w:pStyle w:val="BodyText"/>
      </w:pPr>
      <w:r w:rsidRPr="0020537E">
        <w:t>The candidate must demonstrate knowledge of implementing the gas drainage management plan thr</w:t>
      </w:r>
      <w:r w:rsidRPr="0020537E">
        <w:t>ough:</w:t>
      </w:r>
    </w:p>
    <w:p w:rsidR="00000000" w:rsidRPr="0020537E" w:rsidP="0020537E">
      <w:pPr>
        <w:pStyle w:val="ListBullet2"/>
      </w:pPr>
      <w:r w:rsidRPr="0020537E">
        <w:t xml:space="preserve">methods of gas drainage: </w:t>
      </w:r>
    </w:p>
    <w:p w:rsidR="00000000" w:rsidRPr="0020537E" w:rsidP="0020537E">
      <w:pPr>
        <w:pStyle w:val="ListBullet3"/>
      </w:pPr>
      <w:r w:rsidRPr="0020537E">
        <w:t>their applications/limitations against the mine design, mine and panel ventilation systems, systems of mining and current and future mine development</w:t>
      </w:r>
    </w:p>
    <w:p w:rsidR="00000000" w:rsidRPr="0020537E" w:rsidP="0020537E">
      <w:pPr>
        <w:pStyle w:val="ListBullet2"/>
      </w:pPr>
      <w:r w:rsidRPr="0020537E">
        <w:t>drilling options and related equipment and techniques including:</w:t>
      </w:r>
    </w:p>
    <w:p w:rsidR="00000000" w:rsidRPr="0020537E" w:rsidP="0020537E">
      <w:pPr>
        <w:pStyle w:val="ListBullet3"/>
      </w:pPr>
      <w:r w:rsidRPr="0020537E">
        <w:t>impacts of intersecting and intersected holes and hole design</w:t>
      </w:r>
    </w:p>
    <w:p w:rsidR="00000000" w:rsidRPr="0020537E" w:rsidP="0020537E">
      <w:pPr>
        <w:pStyle w:val="ListBullet3"/>
      </w:pPr>
      <w:r w:rsidRPr="0020537E">
        <w:t>gas drainage on mining techniques, mine and panel design and production output</w:t>
      </w:r>
    </w:p>
    <w:p w:rsidR="00000000" w:rsidRPr="0020537E" w:rsidP="0020537E">
      <w:pPr>
        <w:pStyle w:val="ListBullet2"/>
      </w:pPr>
      <w:r w:rsidRPr="0020537E">
        <w:t>strata geology and coal seam characteristics on the gas drainage management plan, including:</w:t>
      </w:r>
    </w:p>
    <w:p w:rsidR="00000000" w:rsidRPr="0020537E" w:rsidP="0020537E">
      <w:pPr>
        <w:pStyle w:val="ListBullet3"/>
      </w:pPr>
      <w:r>
        <w:t>•</w:t>
      </w:r>
      <w:r>
        <w:tab/>
      </w:r>
      <w:r w:rsidRPr="0020537E">
        <w:t xml:space="preserve">the effects of the </w:t>
      </w:r>
      <w:r w:rsidRPr="0020537E">
        <w:t>type and quantity of gas in the coal seam</w:t>
      </w:r>
    </w:p>
    <w:p w:rsidR="00000000" w:rsidRPr="0020537E" w:rsidP="0020537E">
      <w:pPr>
        <w:pStyle w:val="ListBullet3"/>
      </w:pPr>
      <w:r w:rsidRPr="0020537E">
        <w:t>coal seam gradient, moisture content, friability, the porous features of the coal seam, stresses and intrusions</w:t>
      </w:r>
    </w:p>
    <w:p w:rsidR="00000000" w:rsidRPr="0020537E" w:rsidP="0020537E">
      <w:pPr>
        <w:pStyle w:val="ListBullet3"/>
      </w:pPr>
      <w:r w:rsidRPr="0020537E">
        <w:t>strata control systems and their effects on gas drainage</w:t>
      </w:r>
    </w:p>
    <w:p w:rsidR="00000000" w:rsidRPr="0020537E" w:rsidP="0020537E">
      <w:pPr>
        <w:pStyle w:val="ListBullet2"/>
      </w:pPr>
      <w:r w:rsidRPr="0020537E">
        <w:t>outburst mining monitoring procedures</w:t>
      </w:r>
    </w:p>
    <w:p w:rsidR="00000000" w:rsidRPr="0020537E" w:rsidP="0020537E">
      <w:pPr>
        <w:pStyle w:val="ListBullet2"/>
      </w:pPr>
      <w:r w:rsidRPr="0020537E">
        <w:t>compon</w:t>
      </w:r>
      <w:r w:rsidRPr="0020537E">
        <w:t>ents/factors to be considered in the gas management plan including:</w:t>
      </w:r>
    </w:p>
    <w:p w:rsidR="00000000" w:rsidRPr="0020537E" w:rsidP="0020537E">
      <w:pPr>
        <w:pStyle w:val="ListBullet3"/>
      </w:pPr>
      <w:r w:rsidRPr="0020537E">
        <w:t>pressure changes: causes, the impacts on the ventilation system, and the effects on gas drainage</w:t>
      </w:r>
    </w:p>
    <w:p w:rsidR="00000000" w:rsidRPr="0020537E" w:rsidP="0020537E">
      <w:pPr>
        <w:pStyle w:val="ListBullet3"/>
      </w:pPr>
      <w:r w:rsidRPr="0020537E">
        <w:t>heat/humidity: the sources and factors which may impact on gas drainage and personnel</w:t>
      </w:r>
    </w:p>
    <w:p w:rsidR="00000000" w:rsidRPr="0020537E" w:rsidP="0020537E">
      <w:pPr>
        <w:pStyle w:val="ListBullet3"/>
      </w:pPr>
      <w:r w:rsidRPr="0020537E">
        <w:t>unde</w:t>
      </w:r>
      <w:r w:rsidRPr="0020537E">
        <w:t>rground water management principles and systems</w:t>
      </w:r>
    </w:p>
    <w:p w:rsidR="00000000" w:rsidRPr="0020537E" w:rsidP="0020537E">
      <w:pPr>
        <w:pStyle w:val="ListBullet3"/>
      </w:pPr>
      <w:r w:rsidRPr="0020537E">
        <w:t>the impacts of accumulation of coal dust after gas drainage has been completed</w:t>
      </w:r>
    </w:p>
    <w:p w:rsidR="00000000" w:rsidRPr="0020537E" w:rsidP="0020537E">
      <w:pPr>
        <w:pStyle w:val="ListBullet3"/>
      </w:pPr>
      <w:r w:rsidRPr="0020537E">
        <w:t>mine and goaf ventilation systems</w:t>
      </w:r>
    </w:p>
    <w:p w:rsidR="00000000" w:rsidRPr="0020537E" w:rsidP="0020537E">
      <w:pPr>
        <w:pStyle w:val="ListBullet2"/>
      </w:pPr>
      <w:r w:rsidRPr="0020537E">
        <w:t>equipment, monitoring systems and techniques including:</w:t>
      </w:r>
    </w:p>
    <w:p w:rsidR="00000000" w:rsidRPr="0020537E" w:rsidP="0020537E">
      <w:pPr>
        <w:pStyle w:val="ListBullet3"/>
      </w:pPr>
      <w:r w:rsidRPr="0020537E">
        <w:t>mine fans: fan laws, fan types, performance characteristics, configurations, applications and limitations in association with the gas drainage management plan,</w:t>
      </w:r>
    </w:p>
    <w:p w:rsidR="00000000" w:rsidRPr="0020537E" w:rsidP="0020537E">
      <w:pPr>
        <w:pStyle w:val="ListBullet3"/>
      </w:pPr>
      <w:r w:rsidRPr="0020537E">
        <w:t>ventilation control devices: the types, purposes, design criteria and specifications, distributi</w:t>
      </w:r>
      <w:r w:rsidRPr="0020537E">
        <w:t>on/placement criteria and limitations</w:t>
      </w:r>
    </w:p>
    <w:p w:rsidR="00000000" w:rsidRPr="0020537E" w:rsidP="0020537E">
      <w:pPr>
        <w:pStyle w:val="ListBullet3"/>
      </w:pPr>
      <w:r w:rsidRPr="0020537E">
        <w:t>de-gassing: methods of control – including brattice, auxiliary fans, compressed air venturis, sails, hurdles, bleeders and purging</w:t>
      </w:r>
    </w:p>
    <w:p w:rsidR="00000000" w:rsidRPr="0020537E" w:rsidP="0020537E">
      <w:pPr>
        <w:pStyle w:val="ListBullet3"/>
      </w:pPr>
      <w:r w:rsidRPr="0020537E">
        <w:t xml:space="preserve">fixed gas drainage monitoring systems: types, characteristics, uses and limitations </w:t>
      </w:r>
    </w:p>
    <w:p w:rsidR="00000000" w:rsidRPr="0020537E" w:rsidP="0020537E">
      <w:pPr>
        <w:pStyle w:val="ListBullet3"/>
      </w:pPr>
      <w:r w:rsidRPr="0020537E">
        <w:t>ga</w:t>
      </w:r>
      <w:r w:rsidRPr="0020537E">
        <w:t>s drainage surveys: the types, frequency and method for conducting including pressure/quantity/temperature and gas</w:t>
      </w:r>
    </w:p>
    <w:p w:rsidR="00000000" w:rsidRPr="0020537E" w:rsidP="0020537E">
      <w:pPr>
        <w:pStyle w:val="ListBullet3"/>
      </w:pPr>
      <w:r w:rsidRPr="0020537E">
        <w:t>use of computer-based systems for mine environment and gas drainage systems analysis</w:t>
      </w:r>
    </w:p>
    <w:p w:rsidR="00000000" w:rsidRPr="0020537E" w:rsidP="0020537E">
      <w:pPr>
        <w:pStyle w:val="ListBullet3"/>
      </w:pPr>
      <w:r w:rsidRPr="0020537E">
        <w:t>processes and techniques for determining alarms and trig</w:t>
      </w:r>
      <w:r w:rsidRPr="0020537E">
        <w:t>ger points/levels</w:t>
      </w:r>
    </w:p>
    <w:p w:rsidR="00000000" w:rsidRPr="0020537E" w:rsidP="0020537E">
      <w:pPr>
        <w:pStyle w:val="ListBullet2"/>
      </w:pPr>
      <w:r>
        <w:t>•</w:t>
      </w:r>
      <w:r>
        <w:tab/>
      </w:r>
      <w:r w:rsidRPr="0020537E">
        <w:t>ventilation theory, including:</w:t>
      </w:r>
    </w:p>
    <w:p w:rsidR="00000000" w:rsidRPr="0020537E" w:rsidP="0020537E">
      <w:pPr>
        <w:pStyle w:val="ListBullet3"/>
      </w:pPr>
      <w:r w:rsidRPr="0020537E">
        <w:t>Atkinson’s equation</w:t>
      </w:r>
    </w:p>
    <w:p w:rsidR="00000000" w:rsidRPr="0020537E" w:rsidP="0020537E">
      <w:pPr>
        <w:pStyle w:val="ListBullet3"/>
      </w:pPr>
      <w:r w:rsidRPr="0020537E">
        <w:t>methods of determining frictional resistance</w:t>
      </w:r>
    </w:p>
    <w:p w:rsidR="00000000" w:rsidRPr="0020537E" w:rsidP="0020537E">
      <w:pPr>
        <w:pStyle w:val="ListBullet3"/>
      </w:pPr>
      <w:r w:rsidRPr="0020537E">
        <w:t>gas laws, including Charles and Boyle</w:t>
      </w:r>
    </w:p>
    <w:p w:rsidR="00000000" w:rsidRPr="0020537E" w:rsidP="0020537E">
      <w:pPr>
        <w:pStyle w:val="ListBullet3"/>
      </w:pPr>
      <w:r w:rsidRPr="0020537E">
        <w:t>natural ventilation pressures</w:t>
      </w:r>
    </w:p>
    <w:p w:rsidR="00000000" w:rsidRPr="0020537E" w:rsidP="0020537E">
      <w:pPr>
        <w:pStyle w:val="ListBullet3"/>
      </w:pPr>
      <w:r w:rsidRPr="0020537E">
        <w:t>gas make</w:t>
      </w:r>
    </w:p>
    <w:p w:rsidR="00000000" w:rsidRPr="0020537E" w:rsidP="0020537E">
      <w:pPr>
        <w:pStyle w:val="ListBullet3"/>
      </w:pPr>
      <w:r w:rsidRPr="0020537E">
        <w:t>leakage</w:t>
      </w:r>
    </w:p>
    <w:p w:rsidR="00000000" w:rsidRPr="0020537E" w:rsidP="0020537E">
      <w:pPr>
        <w:pStyle w:val="ListBullet3"/>
      </w:pPr>
      <w:r w:rsidRPr="0020537E">
        <w:t>determination of mine resistance curves</w:t>
      </w:r>
    </w:p>
    <w:p w:rsidR="00000000" w:rsidRPr="0020537E" w:rsidP="0020537E">
      <w:pPr>
        <w:pStyle w:val="ListBullet3"/>
      </w:pPr>
      <w:r w:rsidRPr="0020537E">
        <w:t>regulator and equivalent orifice calculation</w:t>
      </w:r>
    </w:p>
    <w:p w:rsidR="00000000" w:rsidRPr="0020537E" w:rsidP="0020537E">
      <w:pPr>
        <w:pStyle w:val="ListBullet3"/>
      </w:pPr>
      <w:r w:rsidRPr="0020537E">
        <w:t>determination of fan operating/duty points</w:t>
      </w:r>
    </w:p>
    <w:p w:rsidR="00000000" w:rsidRPr="0020537E" w:rsidP="0020537E">
      <w:pPr>
        <w:pStyle w:val="ListBullet3"/>
      </w:pPr>
      <w:r w:rsidRPr="0020537E">
        <w:t>Kirkoff’s laws</w:t>
      </w:r>
    </w:p>
    <w:p w:rsidR="00000000" w:rsidRPr="0020537E" w:rsidP="0020537E">
      <w:pPr>
        <w:pStyle w:val="ListBullet3"/>
      </w:pPr>
      <w:r w:rsidRPr="0020537E">
        <w:t>emergency response and evacuation/disaster planning processes and techniques</w:t>
      </w:r>
    </w:p>
    <w:p w:rsidR="00000000" w:rsidRPr="0020537E" w:rsidP="0020537E">
      <w:pPr>
        <w:pStyle w:val="AllowPageBreak"/>
      </w:pPr>
    </w:p>
    <w:p w:rsidR="00000000" w:rsidRPr="0020537E" w:rsidP="0020537E">
      <w:pPr>
        <w:pStyle w:val="Heading1"/>
      </w:pPr>
      <w:bookmarkStart w:id="4" w:name="O_689835"/>
      <w:bookmarkEnd w:id="4"/>
      <w:r w:rsidRPr="0020537E">
        <w:t>Assessment Conditions</w:t>
      </w:r>
    </w:p>
    <w:p w:rsidR="00000000" w:rsidRPr="0020537E" w:rsidP="0020537E">
      <w:pPr>
        <w:pStyle w:val="ListBullet"/>
      </w:pPr>
      <w:r w:rsidRPr="0020537E">
        <w:t>An assessor of this unit must satisf</w:t>
      </w:r>
      <w:r w:rsidRPr="0020537E">
        <w:t xml:space="preserve">y the requirements of the NVR/AQTF or their successors; and Industry regulations for certification and licensing; and, </w:t>
      </w:r>
    </w:p>
    <w:p w:rsidR="00000000" w:rsidRPr="0020537E" w:rsidP="0020537E">
      <w:pPr>
        <w:pStyle w:val="ListBullet"/>
      </w:pPr>
      <w:r w:rsidRPr="0020537E">
        <w:t>this unit must be assessed in the context of this sector’s work environment; and,</w:t>
      </w:r>
    </w:p>
    <w:p w:rsidR="00000000" w:rsidRPr="0020537E" w:rsidP="0020537E">
      <w:pPr>
        <w:pStyle w:val="ListBullet"/>
      </w:pPr>
      <w:r w:rsidRPr="0020537E">
        <w:t>this unit must be assessed in compliance with relevant</w:t>
      </w:r>
      <w:r w:rsidRPr="0020537E">
        <w:t xml:space="preserve"> legislation/regulation and using policies, procedures, processes and operational manuals directly related to the industry sector for which it is being assessed; and,</w:t>
      </w:r>
    </w:p>
    <w:p w:rsidR="00000000" w:rsidRPr="0020537E" w:rsidP="0020537E">
      <w:pPr>
        <w:pStyle w:val="ListBullet"/>
      </w:pPr>
      <w:r w:rsidRPr="0020537E">
        <w:t>assessment may be conducted in conjunction with the assessment of other Units of Competen</w:t>
      </w:r>
      <w:r w:rsidRPr="0020537E">
        <w:t>cy; and,</w:t>
      </w:r>
    </w:p>
    <w:p w:rsidR="00000000" w:rsidRPr="0020537E" w:rsidP="0020537E">
      <w:pPr>
        <w:pStyle w:val="ListBullet"/>
      </w:pPr>
      <w:r w:rsidRPr="0020537E">
        <w:t>assessment must confirm consistent performance can be applied in a range of relevant workplace circumstances; and,</w:t>
      </w:r>
    </w:p>
    <w:p w:rsidR="00000000" w:rsidRPr="0020537E" w:rsidP="0020537E">
      <w:pPr>
        <w:pStyle w:val="ListBullet"/>
      </w:pPr>
      <w:r w:rsidRPr="0020537E">
        <w:t>assessors m</w:t>
      </w:r>
      <w:r w:rsidRPr="0020537E">
        <w:t>ust demonstrate the performance evidence, and knowledge evidence as outlined in this Unit of Competency, and through the minimum years of current* work experience specified below in an Industry sector relevant to the outcomes of the unit; or,</w:t>
      </w:r>
    </w:p>
    <w:p w:rsidR="00000000" w:rsidRPr="0020537E" w:rsidP="0020537E">
      <w:pPr>
        <w:pStyle w:val="ListBullet"/>
      </w:pPr>
      <w:r w:rsidRPr="0020537E">
        <w:t>where the ass</w:t>
      </w:r>
      <w:r w:rsidRPr="0020537E">
        <w:t>essor does not meet experience requirements a co-assessment or partnership arrangement must exist between the qualified assessor and an Industry subject matter expert. The Industry subject matter expert should hold the unit being assessed (or an equivalent</w:t>
      </w:r>
      <w:r w:rsidRPr="0020537E">
        <w:t xml:space="preserve"> unit) and/or demonstrate equivalence of skills and knowledge at the unit level. An Industry technical expert must also demonstrate skills and knowledge from the minimum years of current work experience specified below in the Industry sector, including tim</w:t>
      </w:r>
      <w:r w:rsidRPr="0020537E">
        <w:t>e spent in roles related to the unit being assessed; and,</w:t>
      </w:r>
    </w:p>
    <w:p w:rsidR="00000000" w:rsidRPr="0020537E" w:rsidP="0020537E">
      <w:pPr>
        <w:pStyle w:val="ListBullet"/>
      </w:pPr>
      <w:r w:rsidRPr="0020537E">
        <w:t>assessor and Industry subject matter expert requirements differ depending on the Australian Qualifications Framework Level (AQF) of the qualification being assessed and/or Industry Sector as follows</w:t>
      </w:r>
      <w:r w:rsidRPr="0020537E">
        <w:t>:</w:t>
      </w:r>
    </w:p>
    <w:tbl>
      <w:tblPr>
        <w:tblW w:w="8896" w:type="dxa"/>
        <w:tblInd w:w="360" w:type="dxa"/>
        <w:tblLayout w:type="fixed"/>
        <w:tblCellMar>
          <w:left w:w="62" w:type="dxa"/>
          <w:right w:w="62" w:type="dxa"/>
        </w:tblCellMar>
        <w:tblLook w:val="0000"/>
      </w:tblPr>
      <w:tblGrid>
        <w:gridCol w:w="4218"/>
        <w:gridCol w:w="1559"/>
        <w:gridCol w:w="3119"/>
      </w:tblGrid>
      <w:tr w:rsidTr="00205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Required assessor or Industry subject matter expert experience</w:t>
            </w:r>
          </w:p>
        </w:tc>
      </w:tr>
      <w:tr w:rsidTr="0020537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1 Year</w:t>
            </w:r>
          </w:p>
        </w:tc>
      </w:tr>
      <w:tr w:rsidTr="0020537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2 Years</w:t>
            </w:r>
          </w:p>
        </w:tc>
      </w:tr>
      <w:tr w:rsidTr="00205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3 Years</w:t>
            </w:r>
          </w:p>
        </w:tc>
      </w:tr>
      <w:tr w:rsidTr="00205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5 Years</w:t>
            </w:r>
          </w:p>
        </w:tc>
      </w:tr>
      <w:tr w:rsidTr="00205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37E">
            <w:pPr>
              <w:pStyle w:val="BodyText"/>
              <w:rPr>
                <w:lang w:val="en-NZ"/>
              </w:rPr>
            </w:pPr>
            <w:r w:rsidRPr="0020537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537E" w:rsidP="0020537E">
            <w:pPr>
              <w:pStyle w:val="BodyText"/>
            </w:pPr>
            <w:r w:rsidRPr="0020537E">
              <w:t xml:space="preserve">Where this Unit is being assessed outside of the Resources and Infrastructure Sectors assessor and/or Industry subject matter expert experience </w:t>
            </w:r>
            <w:r w:rsidRPr="0020537E">
              <w:t>should be in-line with industry standards for the sector in which it is being assessed and where no Industry standard is specified should comply with any relevant regulation.</w:t>
            </w:r>
          </w:p>
        </w:tc>
      </w:tr>
    </w:tbl>
    <w:p w:rsidR="00000000" w:rsidRPr="0020537E" w:rsidP="00640F79">
      <w:pPr>
        <w:pStyle w:val="BodyText"/>
      </w:pPr>
      <w:r w:rsidRPr="0020537E">
        <w:t>*Assessors can demonstrate current work experience through employment within In</w:t>
      </w:r>
      <w:r w:rsidRPr="0020537E">
        <w:t>dustry in a role relevant to the outcomes of the Unit; or, for external assessors this can be demonstrated through exposure to Industry by conducting frequent site assessments across various locations.</w:t>
      </w:r>
    </w:p>
    <w:p w:rsidR="00000000" w:rsidRPr="0020537E" w:rsidP="00640F79">
      <w:pPr>
        <w:pStyle w:val="BodyText"/>
      </w:pPr>
      <w:r w:rsidRPr="0020537E">
        <w:t>**Where a unit is being delivered outside of a Qualifi</w:t>
      </w:r>
      <w:r w:rsidRPr="0020537E">
        <w:t>cation the first numeric character in the Unit code should be considered to indicate the AQF level</w:t>
      </w:r>
    </w:p>
    <w:p w:rsidR="00000000" w:rsidRPr="0020537E" w:rsidP="0020537E">
      <w:pPr>
        <w:pStyle w:val="Heading1"/>
      </w:pPr>
      <w:bookmarkStart w:id="5" w:name="O_689847"/>
      <w:bookmarkEnd w:id="5"/>
      <w:r w:rsidRPr="0020537E">
        <w:t>Links</w:t>
      </w:r>
    </w:p>
    <w:p w:rsidR="00000000" w:rsidRPr="0020537E" w:rsidP="00640F79">
      <w:pPr>
        <w:pStyle w:val="BodyText"/>
      </w:pPr>
      <w:r w:rsidRPr="0020537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2721">
        <w:rPr>
          <w:rStyle w:val="Hyperlink"/>
        </w:rPr>
        <w:t>https://vetnet.gov.au/Pages/TrainingDocs.aspx?q=88a61002-9a21-4386-aaf8-69c76e675272</w:t>
      </w:r>
      <w:r>
        <w:fldChar w:fldCharType="end"/>
      </w:r>
    </w:p>
    <w:p w:rsidR="00000000" w:rsidRPr="0020537E" w:rsidP="0020537E"/>
    <w:sectPr w:rsidSect="002053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7E" w:rsidRPr="00640F79" w:rsidP="00640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79" w:rsidP="00205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F79" w:rsidP="002053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40F79" w:rsidP="00205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37E" w:rsidRPr="00640F79" w:rsidP="00640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79" w:rsidRPr="002D2AF8" w:rsidP="0020537E">
    <w:pPr>
      <w:pStyle w:val="Header"/>
      <w:framePr w:wrap="around"/>
    </w:pPr>
    <w:r>
      <w:fldChar w:fldCharType="begin"/>
    </w:r>
    <w:r>
      <w:instrText xml:space="preserve"> TITLE   \* MERGEFORMAT </w:instrText>
    </w:r>
    <w:r>
      <w:fldChar w:fldCharType="separate"/>
    </w:r>
    <w:r>
      <w:t>Assessment Requirements for RIIMCU503D Implement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40F79" w:rsidP="00205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926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40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E5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37E"/>
    <w:pPr>
      <w:spacing w:before="360" w:after="60"/>
      <w:outlineLvl w:val="0"/>
    </w:pPr>
    <w:rPr>
      <w:sz w:val="32"/>
    </w:rPr>
  </w:style>
  <w:style w:type="paragraph" w:styleId="Heading2">
    <w:name w:val="heading 2"/>
    <w:basedOn w:val="HeadingBase"/>
    <w:next w:val="BodyText"/>
    <w:link w:val="Heading2Char"/>
    <w:qFormat/>
    <w:rsid w:val="0020537E"/>
    <w:pPr>
      <w:keepLines/>
      <w:spacing w:before="240" w:after="120"/>
      <w:outlineLvl w:val="1"/>
    </w:pPr>
    <w:rPr>
      <w:sz w:val="28"/>
      <w:szCs w:val="40"/>
    </w:rPr>
  </w:style>
  <w:style w:type="paragraph" w:styleId="Heading3">
    <w:name w:val="heading 3"/>
    <w:basedOn w:val="HeadingBase"/>
    <w:next w:val="BodyText"/>
    <w:link w:val="Heading3Char"/>
    <w:qFormat/>
    <w:rsid w:val="0020537E"/>
    <w:pPr>
      <w:spacing w:before="180" w:after="120"/>
      <w:outlineLvl w:val="2"/>
    </w:pPr>
    <w:rPr>
      <w:spacing w:val="-10"/>
      <w:kern w:val="32"/>
    </w:rPr>
  </w:style>
  <w:style w:type="paragraph" w:styleId="Heading4">
    <w:name w:val="heading 4"/>
    <w:basedOn w:val="HeadingBase"/>
    <w:next w:val="BodyText"/>
    <w:link w:val="Heading4Char"/>
    <w:qFormat/>
    <w:rsid w:val="0020537E"/>
    <w:pPr>
      <w:spacing w:before="160" w:after="120"/>
      <w:outlineLvl w:val="3"/>
    </w:pPr>
    <w:rPr>
      <w:sz w:val="22"/>
    </w:rPr>
  </w:style>
  <w:style w:type="paragraph" w:styleId="Heading5">
    <w:name w:val="heading 5"/>
    <w:basedOn w:val="HeadingBase"/>
    <w:next w:val="Normal"/>
    <w:link w:val="Heading5Char"/>
    <w:qFormat/>
    <w:rsid w:val="0020537E"/>
    <w:pPr>
      <w:spacing w:before="80"/>
      <w:outlineLvl w:val="4"/>
    </w:pPr>
    <w:rPr>
      <w:color w:val="918585"/>
      <w:sz w:val="20"/>
    </w:rPr>
  </w:style>
  <w:style w:type="paragraph" w:styleId="Heading6">
    <w:name w:val="heading 6"/>
    <w:basedOn w:val="HeadingBase"/>
    <w:next w:val="Normal"/>
    <w:link w:val="Heading6Char"/>
    <w:qFormat/>
    <w:rsid w:val="0020537E"/>
    <w:pPr>
      <w:spacing w:before="60"/>
      <w:outlineLvl w:val="5"/>
    </w:pPr>
    <w:rPr>
      <w:color w:val="918585"/>
      <w:sz w:val="20"/>
    </w:rPr>
  </w:style>
  <w:style w:type="paragraph" w:styleId="Heading7">
    <w:name w:val="heading 7"/>
    <w:basedOn w:val="Normal"/>
    <w:next w:val="Normal"/>
    <w:link w:val="Heading7Char"/>
    <w:qFormat/>
    <w:rsid w:val="0020537E"/>
    <w:pPr>
      <w:ind w:left="720"/>
      <w:outlineLvl w:val="6"/>
    </w:pPr>
    <w:rPr>
      <w:i/>
    </w:rPr>
  </w:style>
  <w:style w:type="paragraph" w:styleId="Heading8">
    <w:name w:val="heading 8"/>
    <w:basedOn w:val="Normal"/>
    <w:next w:val="Normal"/>
    <w:link w:val="Heading8Char"/>
    <w:qFormat/>
    <w:rsid w:val="0020537E"/>
    <w:pPr>
      <w:ind w:left="720"/>
      <w:outlineLvl w:val="7"/>
    </w:pPr>
    <w:rPr>
      <w:i/>
    </w:rPr>
  </w:style>
  <w:style w:type="paragraph" w:styleId="Heading9">
    <w:name w:val="heading 9"/>
    <w:basedOn w:val="Normal"/>
    <w:next w:val="Normal"/>
    <w:link w:val="Heading9Char"/>
    <w:qFormat/>
    <w:rsid w:val="0020537E"/>
    <w:pPr>
      <w:ind w:left="720"/>
      <w:outlineLvl w:val="8"/>
    </w:pPr>
    <w:rPr>
      <w:i/>
    </w:rPr>
  </w:style>
  <w:style w:type="character" w:default="1" w:styleId="DefaultParagraphFont">
    <w:name w:val="Default Paragraph Font"/>
    <w:uiPriority w:val="1"/>
    <w:unhideWhenUsed/>
    <w:rsid w:val="00205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37E"/>
  </w:style>
  <w:style w:type="character" w:customStyle="1" w:styleId="Heading1Char">
    <w:name w:val="Heading 1 Char"/>
    <w:basedOn w:val="DefaultParagraphFont"/>
    <w:link w:val="Heading1"/>
    <w:rsid w:val="0020537E"/>
    <w:rPr>
      <w:rFonts w:ascii="Times New Roman" w:eastAsia="Times New Roman" w:hAnsi="Times New Roman" w:cs="Times New Roman"/>
      <w:b/>
      <w:sz w:val="32"/>
      <w:szCs w:val="20"/>
      <w:lang w:eastAsia="en-US"/>
    </w:rPr>
  </w:style>
  <w:style w:type="paragraph" w:styleId="BodyText">
    <w:name w:val="Body Text"/>
    <w:basedOn w:val="Normal"/>
    <w:link w:val="BodyTextChar"/>
    <w:rsid w:val="00205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37E"/>
    <w:rPr>
      <w:rFonts w:ascii="Times New Roman" w:eastAsia="Times New Roman" w:hAnsi="Times New Roman" w:cs="Times New Roman"/>
      <w:sz w:val="24"/>
      <w:lang w:eastAsia="en-US"/>
    </w:rPr>
  </w:style>
  <w:style w:type="paragraph" w:styleId="ListBullet">
    <w:name w:val="List Bullet"/>
    <w:basedOn w:val="List"/>
    <w:rsid w:val="0020537E"/>
    <w:pPr>
      <w:numPr>
        <w:numId w:val="13"/>
      </w:numPr>
      <w:tabs>
        <w:tab w:val="clear" w:pos="340"/>
      </w:tabs>
      <w:spacing w:before="40" w:after="40"/>
    </w:pPr>
  </w:style>
  <w:style w:type="paragraph" w:styleId="ListBullet2">
    <w:name w:val="List Bullet 2"/>
    <w:basedOn w:val="List2"/>
    <w:rsid w:val="0020537E"/>
    <w:pPr>
      <w:numPr>
        <w:numId w:val="14"/>
      </w:numPr>
      <w:tabs>
        <w:tab w:val="clear" w:pos="680"/>
      </w:tabs>
    </w:pPr>
  </w:style>
  <w:style w:type="paragraph" w:customStyle="1" w:styleId="SuperHeading">
    <w:name w:val="SuperHeading"/>
    <w:basedOn w:val="Normal"/>
    <w:rsid w:val="0020537E"/>
    <w:pPr>
      <w:spacing w:before="240" w:after="120"/>
      <w:outlineLvl w:val="0"/>
    </w:pPr>
    <w:rPr>
      <w:rFonts w:ascii="Times New Roman" w:hAnsi="Times New Roman"/>
      <w:b/>
      <w:sz w:val="32"/>
    </w:rPr>
  </w:style>
  <w:style w:type="paragraph" w:customStyle="1" w:styleId="AllowPageBreak">
    <w:name w:val="AllowPageBreak"/>
    <w:rsid w:val="002053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537E"/>
    <w:pPr>
      <w:numPr>
        <w:numId w:val="3"/>
      </w:numPr>
      <w:tabs>
        <w:tab w:val="clear" w:pos="1021"/>
      </w:tabs>
      <w:ind w:left="1037" w:hanging="357"/>
    </w:pPr>
  </w:style>
  <w:style w:type="character" w:customStyle="1" w:styleId="Heading2Char">
    <w:name w:val="Heading 2 Char"/>
    <w:basedOn w:val="DefaultParagraphFont"/>
    <w:link w:val="Heading2"/>
    <w:rsid w:val="00205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37E"/>
    <w:rPr>
      <w:rFonts w:ascii="Courier New" w:eastAsia="Times New Roman" w:hAnsi="Courier New" w:cs="Times New Roman"/>
      <w:i/>
      <w:szCs w:val="20"/>
      <w:lang w:eastAsia="en-US"/>
    </w:rPr>
  </w:style>
  <w:style w:type="paragraph" w:customStyle="1" w:styleId="HeadingBase">
    <w:name w:val="Heading Base"/>
    <w:rsid w:val="00205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37E"/>
    <w:pPr>
      <w:tabs>
        <w:tab w:val="right" w:leader="dot" w:pos="9072"/>
      </w:tabs>
      <w:ind w:left="567"/>
    </w:pPr>
    <w:rPr>
      <w:szCs w:val="22"/>
    </w:rPr>
  </w:style>
  <w:style w:type="paragraph" w:customStyle="1" w:styleId="TOCBase">
    <w:name w:val="TOC Base"/>
    <w:rsid w:val="00205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37E"/>
    <w:pPr>
      <w:tabs>
        <w:tab w:val="right" w:leader="dot" w:pos="9072"/>
      </w:tabs>
      <w:spacing w:before="40" w:after="40"/>
      <w:ind w:left="284"/>
    </w:pPr>
    <w:rPr>
      <w:rFonts w:ascii="Times New Roman" w:hAnsi="Times New Roman"/>
    </w:rPr>
  </w:style>
  <w:style w:type="paragraph" w:styleId="TOC1">
    <w:name w:val="toc 1"/>
    <w:basedOn w:val="TOCBase"/>
    <w:next w:val="Normal"/>
    <w:rsid w:val="00205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37E"/>
    <w:rPr>
      <w:rFonts w:ascii="Times New Roman" w:eastAsia="Times New Roman" w:hAnsi="Times New Roman" w:cs="Times New Roman"/>
      <w:sz w:val="16"/>
      <w:lang w:eastAsia="en-US"/>
    </w:rPr>
  </w:style>
  <w:style w:type="paragraph" w:styleId="Title">
    <w:name w:val="Title"/>
    <w:basedOn w:val="HeadingBase"/>
    <w:link w:val="TitleChar"/>
    <w:qFormat/>
    <w:rsid w:val="0020537E"/>
    <w:pPr>
      <w:spacing w:before="5040"/>
      <w:jc w:val="center"/>
    </w:pPr>
    <w:rPr>
      <w:sz w:val="48"/>
      <w:szCs w:val="72"/>
      <w:lang w:val="en-US"/>
    </w:rPr>
  </w:style>
  <w:style w:type="character" w:customStyle="1" w:styleId="TitleChar">
    <w:name w:val="Title Char"/>
    <w:basedOn w:val="DefaultParagraphFont"/>
    <w:link w:val="Title"/>
    <w:rsid w:val="00205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37E"/>
    <w:pPr>
      <w:tabs>
        <w:tab w:val="left" w:pos="3600"/>
        <w:tab w:val="left" w:pos="3958"/>
      </w:tabs>
    </w:pPr>
  </w:style>
  <w:style w:type="paragraph" w:styleId="List">
    <w:name w:val="List"/>
    <w:basedOn w:val="BodyText"/>
    <w:next w:val="BodyText"/>
    <w:rsid w:val="0020537E"/>
    <w:pPr>
      <w:tabs>
        <w:tab w:val="left" w:pos="340"/>
      </w:tabs>
      <w:spacing w:before="60" w:after="60"/>
      <w:ind w:left="340" w:hanging="340"/>
    </w:pPr>
  </w:style>
  <w:style w:type="paragraph" w:customStyle="1" w:styleId="Note">
    <w:name w:val="Note"/>
    <w:basedOn w:val="BodyText"/>
    <w:rsid w:val="002053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537E"/>
    <w:rPr>
      <w:b/>
      <w:spacing w:val="0"/>
    </w:rPr>
  </w:style>
  <w:style w:type="paragraph" w:customStyle="1" w:styleId="SuperTitle">
    <w:name w:val="SuperTitle"/>
    <w:basedOn w:val="Title"/>
    <w:rsid w:val="0020537E"/>
    <w:pPr>
      <w:framePr w:wrap="auto" w:hAnchor="text" w:y="6049"/>
    </w:pPr>
    <w:rPr>
      <w:color w:val="000000"/>
      <w:sz w:val="40"/>
    </w:rPr>
  </w:style>
  <w:style w:type="paragraph" w:customStyle="1" w:styleId="TOCTitle">
    <w:name w:val="TOCTitle"/>
    <w:basedOn w:val="Heading1"/>
    <w:rsid w:val="0020537E"/>
    <w:pPr>
      <w:spacing w:after="240"/>
      <w:jc w:val="center"/>
      <w:outlineLvl w:val="9"/>
    </w:pPr>
    <w:rPr>
      <w:caps/>
    </w:rPr>
  </w:style>
  <w:style w:type="paragraph" w:customStyle="1" w:styleId="Version">
    <w:name w:val="Version"/>
    <w:rsid w:val="002053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37E"/>
    <w:pPr>
      <w:keepNext w:val="0"/>
      <w:tabs>
        <w:tab w:val="right" w:pos="4176"/>
      </w:tabs>
      <w:ind w:left="198" w:hanging="198"/>
    </w:pPr>
    <w:rPr>
      <w:rFonts w:ascii="Garamond" w:hAnsi="Garamond"/>
    </w:rPr>
  </w:style>
  <w:style w:type="paragraph" w:styleId="IndexHeading">
    <w:name w:val="index heading"/>
    <w:basedOn w:val="Normal"/>
    <w:next w:val="Index1"/>
    <w:semiHidden/>
    <w:rsid w:val="0020537E"/>
    <w:pPr>
      <w:spacing w:before="120" w:after="120"/>
    </w:pPr>
    <w:rPr>
      <w:rFonts w:ascii="Arial" w:hAnsi="Arial"/>
      <w:b/>
      <w:color w:val="918585"/>
      <w:sz w:val="24"/>
    </w:rPr>
  </w:style>
  <w:style w:type="paragraph" w:styleId="Header">
    <w:name w:val="header"/>
    <w:basedOn w:val="Normal"/>
    <w:link w:val="HeaderChar"/>
    <w:rsid w:val="00205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37E"/>
    <w:rPr>
      <w:rFonts w:ascii="Times New Roman" w:eastAsia="Times New Roman" w:hAnsi="Times New Roman" w:cs="Times New Roman"/>
      <w:sz w:val="16"/>
      <w:szCs w:val="20"/>
      <w:lang w:val="en-GB" w:eastAsia="en-US"/>
    </w:rPr>
  </w:style>
  <w:style w:type="paragraph" w:customStyle="1" w:styleId="Chapter">
    <w:name w:val="Chapter"/>
    <w:basedOn w:val="Normal"/>
    <w:rsid w:val="0020537E"/>
    <w:pPr>
      <w:spacing w:before="240"/>
    </w:pPr>
    <w:rPr>
      <w:rFonts w:ascii="Times New Roman" w:hAnsi="Times New Roman"/>
      <w:smallCaps/>
      <w:spacing w:val="80"/>
      <w:sz w:val="28"/>
    </w:rPr>
  </w:style>
  <w:style w:type="paragraph" w:customStyle="1" w:styleId="InChapter">
    <w:name w:val="InChapter"/>
    <w:basedOn w:val="Heading3"/>
    <w:rsid w:val="0020537E"/>
    <w:pPr>
      <w:spacing w:after="240"/>
      <w:outlineLvl w:val="9"/>
    </w:pPr>
    <w:rPr>
      <w:noProof/>
    </w:rPr>
  </w:style>
  <w:style w:type="paragraph" w:styleId="Index2">
    <w:name w:val="index 2"/>
    <w:basedOn w:val="Normal"/>
    <w:next w:val="Normal"/>
    <w:semiHidden/>
    <w:rsid w:val="0020537E"/>
    <w:pPr>
      <w:tabs>
        <w:tab w:val="right" w:pos="4176"/>
      </w:tabs>
      <w:ind w:left="568" w:hanging="284"/>
    </w:pPr>
    <w:rPr>
      <w:rFonts w:ascii="Garamond" w:hAnsi="Garamond"/>
    </w:rPr>
  </w:style>
  <w:style w:type="paragraph" w:customStyle="1" w:styleId="Byline">
    <w:name w:val="Byline"/>
    <w:rsid w:val="00205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37E"/>
    <w:pPr>
      <w:tabs>
        <w:tab w:val="clear" w:pos="3600"/>
        <w:tab w:val="clear" w:pos="3958"/>
      </w:tabs>
      <w:jc w:val="right"/>
    </w:pPr>
  </w:style>
  <w:style w:type="character" w:styleId="Emphasis">
    <w:name w:val="Emphasis"/>
    <w:basedOn w:val="DefaultParagraphFont"/>
    <w:qFormat/>
    <w:rsid w:val="0020537E"/>
    <w:rPr>
      <w:i/>
    </w:rPr>
  </w:style>
  <w:style w:type="paragraph" w:styleId="Caption">
    <w:name w:val="caption"/>
    <w:basedOn w:val="BodyText"/>
    <w:next w:val="Normal"/>
    <w:qFormat/>
    <w:rsid w:val="0020537E"/>
    <w:pPr>
      <w:framePr w:w="2268" w:hSpace="181" w:vSpace="181" w:wrap="around" w:vAnchor="text" w:hAnchor="page" w:x="1135" w:y="285" w:anchorLock="1"/>
    </w:pPr>
    <w:rPr>
      <w:i/>
    </w:rPr>
  </w:style>
  <w:style w:type="paragraph" w:customStyle="1" w:styleId="MiniTOCTitle">
    <w:name w:val="MiniTOCTitle"/>
    <w:basedOn w:val="Heading4"/>
    <w:rsid w:val="0020537E"/>
    <w:pPr>
      <w:spacing w:before="240"/>
      <w:outlineLvl w:val="9"/>
    </w:pPr>
    <w:rPr>
      <w:noProof/>
      <w:sz w:val="24"/>
    </w:rPr>
  </w:style>
  <w:style w:type="paragraph" w:customStyle="1" w:styleId="MiniTOCItem">
    <w:name w:val="MiniTOCItem"/>
    <w:basedOn w:val="ListBullet"/>
    <w:rsid w:val="0020537E"/>
    <w:pPr>
      <w:numPr>
        <w:numId w:val="0"/>
      </w:numPr>
      <w:tabs>
        <w:tab w:val="right" w:leader="dot" w:pos="6521"/>
      </w:tabs>
      <w:spacing w:before="0" w:after="0"/>
    </w:pPr>
  </w:style>
  <w:style w:type="paragraph" w:customStyle="1" w:styleId="TOFTitle">
    <w:name w:val="TOFTitle"/>
    <w:basedOn w:val="TOCTitle"/>
    <w:rsid w:val="0020537E"/>
  </w:style>
  <w:style w:type="paragraph" w:styleId="TableofFigures">
    <w:name w:val="table of figures"/>
    <w:basedOn w:val="Normal"/>
    <w:next w:val="Normal"/>
    <w:semiHidden/>
    <w:rsid w:val="0020537E"/>
    <w:pPr>
      <w:tabs>
        <w:tab w:val="right" w:leader="dot" w:pos="9072"/>
      </w:tabs>
      <w:ind w:left="970" w:hanging="403"/>
    </w:pPr>
    <w:rPr>
      <w:rFonts w:ascii="Times New Roman" w:hAnsi="Times New Roman"/>
      <w:b/>
    </w:rPr>
  </w:style>
  <w:style w:type="paragraph" w:styleId="ListNumber">
    <w:name w:val="List Number"/>
    <w:basedOn w:val="List"/>
    <w:rsid w:val="0020537E"/>
    <w:pPr>
      <w:numPr>
        <w:numId w:val="16"/>
      </w:numPr>
      <w:tabs>
        <w:tab w:val="clear" w:pos="340"/>
      </w:tabs>
    </w:pPr>
  </w:style>
  <w:style w:type="character" w:customStyle="1" w:styleId="WingdingSymbols">
    <w:name w:val="Wingding Symbols"/>
    <w:rsid w:val="0020537E"/>
    <w:rPr>
      <w:rFonts w:ascii="Wingdings" w:hAnsi="Wingdings"/>
    </w:rPr>
  </w:style>
  <w:style w:type="paragraph" w:customStyle="1" w:styleId="TableHeading">
    <w:name w:val="Table Heading"/>
    <w:basedOn w:val="HeadingBase"/>
    <w:rsid w:val="0020537E"/>
    <w:pPr>
      <w:keepLines/>
      <w:pBdr>
        <w:bottom w:val="single" w:sz="6" w:space="1" w:color="918585"/>
      </w:pBdr>
      <w:spacing w:before="240"/>
    </w:pPr>
  </w:style>
  <w:style w:type="character" w:customStyle="1" w:styleId="HotSpot">
    <w:name w:val="HotSpot"/>
    <w:rsid w:val="0020537E"/>
    <w:rPr>
      <w:color w:val="0033CC"/>
      <w:u w:val="none"/>
    </w:rPr>
  </w:style>
  <w:style w:type="paragraph" w:customStyle="1" w:styleId="BodyTextRight">
    <w:name w:val="Body Text Right"/>
    <w:basedOn w:val="BodyText"/>
    <w:rsid w:val="0020537E"/>
    <w:pPr>
      <w:spacing w:before="0" w:after="0"/>
      <w:jc w:val="right"/>
    </w:pPr>
  </w:style>
  <w:style w:type="paragraph" w:styleId="Index3">
    <w:name w:val="index 3"/>
    <w:basedOn w:val="ListNumber2"/>
    <w:next w:val="Normal"/>
    <w:semiHidden/>
    <w:rsid w:val="0020537E"/>
    <w:pPr>
      <w:numPr>
        <w:numId w:val="0"/>
      </w:numPr>
      <w:tabs>
        <w:tab w:val="right" w:leader="dot" w:pos="4176"/>
      </w:tabs>
    </w:pPr>
  </w:style>
  <w:style w:type="paragraph" w:styleId="ListNumber2">
    <w:name w:val="List Number 2"/>
    <w:basedOn w:val="List2"/>
    <w:rsid w:val="0020537E"/>
    <w:pPr>
      <w:numPr>
        <w:numId w:val="11"/>
      </w:numPr>
      <w:tabs>
        <w:tab w:val="clear" w:pos="1060"/>
      </w:tabs>
    </w:pPr>
  </w:style>
  <w:style w:type="paragraph" w:customStyle="1" w:styleId="MarginNote">
    <w:name w:val="Margin Note"/>
    <w:basedOn w:val="BodyText"/>
    <w:rsid w:val="00205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37E"/>
    <w:rPr>
      <w:sz w:val="32"/>
    </w:rPr>
  </w:style>
  <w:style w:type="paragraph" w:customStyle="1" w:styleId="HeadingProcedure">
    <w:name w:val="Heading Procedure"/>
    <w:basedOn w:val="HeadingBase"/>
    <w:next w:val="Normal"/>
    <w:rsid w:val="0020537E"/>
    <w:pPr>
      <w:tabs>
        <w:tab w:val="left" w:pos="0"/>
      </w:tabs>
      <w:spacing w:before="120" w:after="60"/>
    </w:pPr>
    <w:rPr>
      <w:i/>
      <w:color w:val="918585"/>
      <w:sz w:val="22"/>
    </w:rPr>
  </w:style>
  <w:style w:type="paragraph" w:customStyle="1" w:styleId="TableBodyText">
    <w:name w:val="Table Body Text"/>
    <w:basedOn w:val="BodyText"/>
    <w:rsid w:val="0020537E"/>
    <w:pPr>
      <w:spacing w:before="60" w:after="60"/>
    </w:pPr>
  </w:style>
  <w:style w:type="paragraph" w:styleId="ListContinue">
    <w:name w:val="List Continue"/>
    <w:basedOn w:val="List"/>
    <w:rsid w:val="0020537E"/>
    <w:pPr>
      <w:ind w:firstLine="0"/>
    </w:pPr>
  </w:style>
  <w:style w:type="paragraph" w:customStyle="1" w:styleId="ListNote">
    <w:name w:val="List Note"/>
    <w:basedOn w:val="List"/>
    <w:rsid w:val="0020537E"/>
    <w:pPr>
      <w:pBdr>
        <w:top w:val="single" w:sz="6" w:space="2" w:color="918585"/>
        <w:bottom w:val="single" w:sz="6" w:space="2" w:color="918585"/>
      </w:pBdr>
      <w:tabs>
        <w:tab w:val="left" w:pos="1021"/>
      </w:tabs>
      <w:ind w:firstLine="0"/>
    </w:pPr>
  </w:style>
  <w:style w:type="paragraph" w:customStyle="1" w:styleId="Warning">
    <w:name w:val="Warning"/>
    <w:basedOn w:val="BodyText"/>
    <w:rsid w:val="0020537E"/>
    <w:pPr>
      <w:shd w:val="clear" w:color="auto" w:fill="D9D9D9"/>
      <w:tabs>
        <w:tab w:val="left" w:pos="992"/>
      </w:tabs>
      <w:ind w:left="119" w:right="119"/>
    </w:pPr>
    <w:rPr>
      <w:sz w:val="20"/>
    </w:rPr>
  </w:style>
  <w:style w:type="paragraph" w:customStyle="1" w:styleId="MarginIcons">
    <w:name w:val="Margin Icons"/>
    <w:basedOn w:val="BodyText"/>
    <w:rsid w:val="00205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37E"/>
    <w:rPr>
      <w:rFonts w:ascii="Courier New" w:hAnsi="Courier New"/>
    </w:rPr>
  </w:style>
  <w:style w:type="paragraph" w:customStyle="1" w:styleId="NoteBullet">
    <w:name w:val="Note Bullet"/>
    <w:basedOn w:val="Note"/>
    <w:rsid w:val="0020537E"/>
    <w:pPr>
      <w:tabs>
        <w:tab w:val="clear" w:pos="680"/>
      </w:tabs>
      <w:spacing w:before="60" w:after="60"/>
    </w:pPr>
  </w:style>
  <w:style w:type="paragraph" w:customStyle="1" w:styleId="SubHeading2">
    <w:name w:val="SubHeading2"/>
    <w:basedOn w:val="HeadingBase"/>
    <w:rsid w:val="0020537E"/>
    <w:pPr>
      <w:spacing w:before="240" w:after="60"/>
    </w:pPr>
    <w:rPr>
      <w:sz w:val="20"/>
    </w:rPr>
  </w:style>
  <w:style w:type="paragraph" w:customStyle="1" w:styleId="SubHeading1">
    <w:name w:val="SubHeading1"/>
    <w:basedOn w:val="HeadingBase"/>
    <w:rsid w:val="0020537E"/>
    <w:pPr>
      <w:spacing w:before="240" w:after="60"/>
    </w:pPr>
    <w:rPr>
      <w:color w:val="918585"/>
      <w:sz w:val="22"/>
    </w:rPr>
  </w:style>
  <w:style w:type="paragraph" w:customStyle="1" w:styleId="SideHeading">
    <w:name w:val="Side Heading"/>
    <w:basedOn w:val="HeadingBase"/>
    <w:rsid w:val="00205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37E"/>
    <w:pPr>
      <w:numPr>
        <w:numId w:val="12"/>
      </w:numPr>
    </w:pPr>
  </w:style>
  <w:style w:type="paragraph" w:styleId="PlainText">
    <w:name w:val="Plain Text"/>
    <w:basedOn w:val="Normal"/>
    <w:link w:val="PlainTextChar"/>
    <w:rsid w:val="0020537E"/>
    <w:rPr>
      <w:sz w:val="20"/>
    </w:rPr>
  </w:style>
  <w:style w:type="character" w:customStyle="1" w:styleId="PlainTextChar">
    <w:name w:val="Plain Text Char"/>
    <w:basedOn w:val="DefaultParagraphFont"/>
    <w:link w:val="PlainText"/>
    <w:rsid w:val="0020537E"/>
    <w:rPr>
      <w:rFonts w:ascii="Courier New" w:eastAsia="Times New Roman" w:hAnsi="Courier New" w:cs="Times New Roman"/>
      <w:sz w:val="20"/>
      <w:szCs w:val="20"/>
      <w:lang w:eastAsia="en-US"/>
    </w:rPr>
  </w:style>
  <w:style w:type="character" w:customStyle="1" w:styleId="MenuOption">
    <w:name w:val="Menu Option"/>
    <w:basedOn w:val="DefaultParagraphFont"/>
    <w:rsid w:val="0020537E"/>
    <w:rPr>
      <w:b/>
      <w:smallCaps/>
    </w:rPr>
  </w:style>
  <w:style w:type="paragraph" w:customStyle="1" w:styleId="TableListNumber">
    <w:name w:val="Table List Number"/>
    <w:basedOn w:val="ListNumber"/>
    <w:rsid w:val="0020537E"/>
    <w:pPr>
      <w:numPr>
        <w:numId w:val="0"/>
      </w:numPr>
    </w:pPr>
  </w:style>
  <w:style w:type="paragraph" w:styleId="TOC4">
    <w:name w:val="toc 4"/>
    <w:basedOn w:val="TOCBase"/>
    <w:next w:val="Normal"/>
    <w:semiHidden/>
    <w:rsid w:val="0020537E"/>
    <w:pPr>
      <w:tabs>
        <w:tab w:val="right" w:leader="dot" w:pos="9071"/>
      </w:tabs>
      <w:ind w:left="1701"/>
    </w:pPr>
  </w:style>
  <w:style w:type="paragraph" w:customStyle="1" w:styleId="ListAlpha">
    <w:name w:val="List Alpha"/>
    <w:basedOn w:val="List"/>
    <w:rsid w:val="0020537E"/>
    <w:pPr>
      <w:numPr>
        <w:numId w:val="10"/>
      </w:numPr>
    </w:pPr>
  </w:style>
  <w:style w:type="paragraph" w:customStyle="1" w:styleId="ListAlpha2">
    <w:name w:val="List Alpha 2"/>
    <w:basedOn w:val="List2"/>
    <w:rsid w:val="0020537E"/>
    <w:pPr>
      <w:numPr>
        <w:numId w:val="9"/>
      </w:numPr>
    </w:pPr>
  </w:style>
  <w:style w:type="paragraph" w:styleId="List2">
    <w:name w:val="List 2"/>
    <w:basedOn w:val="BodyText"/>
    <w:rsid w:val="0020537E"/>
    <w:pPr>
      <w:tabs>
        <w:tab w:val="left" w:pos="680"/>
      </w:tabs>
      <w:spacing w:before="60" w:after="60"/>
      <w:ind w:left="680" w:hanging="340"/>
    </w:pPr>
  </w:style>
  <w:style w:type="paragraph" w:styleId="List3">
    <w:name w:val="List 3"/>
    <w:basedOn w:val="BodyText"/>
    <w:rsid w:val="0020537E"/>
    <w:pPr>
      <w:tabs>
        <w:tab w:val="left" w:pos="1021"/>
      </w:tabs>
      <w:spacing w:before="60" w:after="60"/>
      <w:ind w:left="1020" w:hanging="340"/>
    </w:pPr>
  </w:style>
  <w:style w:type="paragraph" w:styleId="List4">
    <w:name w:val="List 4"/>
    <w:basedOn w:val="BodyText"/>
    <w:rsid w:val="0020537E"/>
    <w:pPr>
      <w:tabs>
        <w:tab w:val="left" w:pos="1361"/>
      </w:tabs>
      <w:spacing w:before="60" w:after="60"/>
      <w:ind w:left="1361" w:hanging="340"/>
    </w:pPr>
  </w:style>
  <w:style w:type="paragraph" w:styleId="List5">
    <w:name w:val="List 5"/>
    <w:basedOn w:val="BodyText"/>
    <w:rsid w:val="0020537E"/>
    <w:pPr>
      <w:tabs>
        <w:tab w:val="left" w:pos="1701"/>
      </w:tabs>
      <w:spacing w:before="60" w:after="60"/>
      <w:ind w:left="1701" w:hanging="340"/>
    </w:pPr>
  </w:style>
  <w:style w:type="paragraph" w:styleId="ListBullet4">
    <w:name w:val="List Bullet 4"/>
    <w:basedOn w:val="List4"/>
    <w:rsid w:val="0020537E"/>
    <w:pPr>
      <w:numPr>
        <w:numId w:val="4"/>
      </w:numPr>
      <w:tabs>
        <w:tab w:val="clear" w:pos="1361"/>
      </w:tabs>
    </w:pPr>
  </w:style>
  <w:style w:type="paragraph" w:styleId="ListBullet5">
    <w:name w:val="List Bullet 5"/>
    <w:basedOn w:val="List5"/>
    <w:rsid w:val="0020537E"/>
    <w:pPr>
      <w:numPr>
        <w:numId w:val="5"/>
      </w:numPr>
    </w:pPr>
  </w:style>
  <w:style w:type="paragraph" w:styleId="ListContinue2">
    <w:name w:val="List Continue 2"/>
    <w:basedOn w:val="List2"/>
    <w:rsid w:val="0020537E"/>
    <w:pPr>
      <w:ind w:firstLine="0"/>
    </w:pPr>
  </w:style>
  <w:style w:type="paragraph" w:styleId="ListContinue3">
    <w:name w:val="List Continue 3"/>
    <w:basedOn w:val="List3"/>
    <w:rsid w:val="0020537E"/>
    <w:pPr>
      <w:ind w:left="1021" w:firstLine="0"/>
    </w:pPr>
  </w:style>
  <w:style w:type="paragraph" w:styleId="ListContinue4">
    <w:name w:val="List Continue 4"/>
    <w:basedOn w:val="List4"/>
    <w:rsid w:val="0020537E"/>
    <w:pPr>
      <w:ind w:firstLine="0"/>
    </w:pPr>
  </w:style>
  <w:style w:type="paragraph" w:styleId="ListContinue5">
    <w:name w:val="List Continue 5"/>
    <w:basedOn w:val="List5"/>
    <w:rsid w:val="0020537E"/>
    <w:pPr>
      <w:ind w:firstLine="0"/>
    </w:pPr>
  </w:style>
  <w:style w:type="paragraph" w:styleId="ListNumber3">
    <w:name w:val="List Number 3"/>
    <w:basedOn w:val="List3"/>
    <w:rsid w:val="0020537E"/>
    <w:pPr>
      <w:numPr>
        <w:numId w:val="6"/>
      </w:numPr>
    </w:pPr>
  </w:style>
  <w:style w:type="paragraph" w:styleId="ListNumber4">
    <w:name w:val="List Number 4"/>
    <w:basedOn w:val="List4"/>
    <w:rsid w:val="0020537E"/>
    <w:pPr>
      <w:numPr>
        <w:numId w:val="7"/>
      </w:numPr>
    </w:pPr>
  </w:style>
  <w:style w:type="paragraph" w:styleId="ListNumber5">
    <w:name w:val="List Number 5"/>
    <w:basedOn w:val="List5"/>
    <w:rsid w:val="0020537E"/>
    <w:pPr>
      <w:numPr>
        <w:numId w:val="8"/>
      </w:numPr>
    </w:pPr>
  </w:style>
  <w:style w:type="paragraph" w:styleId="BlockText">
    <w:name w:val="Block Text"/>
    <w:basedOn w:val="Normal"/>
    <w:rsid w:val="0020537E"/>
    <w:pPr>
      <w:spacing w:after="120"/>
      <w:ind w:left="1440" w:right="1440"/>
    </w:pPr>
  </w:style>
  <w:style w:type="character" w:customStyle="1" w:styleId="Subscript">
    <w:name w:val="Subscript"/>
    <w:basedOn w:val="DefaultParagraphFont"/>
    <w:rsid w:val="0020537E"/>
    <w:rPr>
      <w:sz w:val="16"/>
      <w:vertAlign w:val="subscript"/>
    </w:rPr>
  </w:style>
  <w:style w:type="character" w:customStyle="1" w:styleId="Superscript">
    <w:name w:val="Superscript"/>
    <w:basedOn w:val="DefaultParagraphFont"/>
    <w:rsid w:val="0020537E"/>
    <w:rPr>
      <w:sz w:val="16"/>
      <w:vertAlign w:val="superscript"/>
    </w:rPr>
  </w:style>
  <w:style w:type="character" w:customStyle="1" w:styleId="Symbols">
    <w:name w:val="Symbols"/>
    <w:basedOn w:val="DefaultParagraphFont"/>
    <w:rsid w:val="0020537E"/>
    <w:rPr>
      <w:rFonts w:ascii="Symbol" w:hAnsi="Symbol"/>
    </w:rPr>
  </w:style>
  <w:style w:type="character" w:customStyle="1" w:styleId="MenuOptions">
    <w:name w:val="Menu Options"/>
    <w:basedOn w:val="DefaultParagraphFont"/>
    <w:rsid w:val="0020537E"/>
    <w:rPr>
      <w:rFonts w:ascii="Arial Narrow" w:hAnsi="Arial Narrow"/>
      <w:smallCaps/>
    </w:rPr>
  </w:style>
  <w:style w:type="character" w:customStyle="1" w:styleId="Buttons">
    <w:name w:val="Buttons"/>
    <w:basedOn w:val="DefaultParagraphFont"/>
    <w:rsid w:val="0020537E"/>
    <w:rPr>
      <w:b/>
    </w:rPr>
  </w:style>
  <w:style w:type="character" w:customStyle="1" w:styleId="Underlined">
    <w:name w:val="Underlined"/>
    <w:basedOn w:val="DefaultParagraphFont"/>
    <w:rsid w:val="0020537E"/>
    <w:rPr>
      <w:u w:val="single"/>
    </w:rPr>
  </w:style>
  <w:style w:type="paragraph" w:customStyle="1" w:styleId="TableBodyTextRight">
    <w:name w:val="Table Body Text Right"/>
    <w:basedOn w:val="TableBodyText"/>
    <w:rsid w:val="0020537E"/>
    <w:pPr>
      <w:widowControl w:val="0"/>
      <w:autoSpaceDE w:val="0"/>
      <w:autoSpaceDN w:val="0"/>
      <w:adjustRightInd w:val="0"/>
      <w:jc w:val="right"/>
    </w:pPr>
    <w:rPr>
      <w:rFonts w:cs="Arial"/>
      <w:szCs w:val="18"/>
    </w:rPr>
  </w:style>
  <w:style w:type="paragraph" w:customStyle="1" w:styleId="CopyrightText">
    <w:name w:val="Copyright Text"/>
    <w:basedOn w:val="BodyText"/>
    <w:rsid w:val="0020537E"/>
    <w:rPr>
      <w:sz w:val="18"/>
    </w:rPr>
  </w:style>
  <w:style w:type="paragraph" w:customStyle="1" w:styleId="BodySmallRight">
    <w:name w:val="Body Small Right"/>
    <w:basedOn w:val="BodyTextRight"/>
    <w:rsid w:val="0020537E"/>
    <w:rPr>
      <w:sz w:val="18"/>
      <w:szCs w:val="18"/>
    </w:rPr>
  </w:style>
  <w:style w:type="paragraph" w:customStyle="1" w:styleId="MarginEdition">
    <w:name w:val="Margin Edition"/>
    <w:basedOn w:val="MarginNote"/>
    <w:rsid w:val="0020537E"/>
    <w:pPr>
      <w:spacing w:before="0" w:after="0"/>
    </w:pPr>
    <w:rPr>
      <w:rFonts w:ascii="Times New Roman" w:hAnsi="Times New Roman"/>
      <w:color w:val="999999"/>
    </w:rPr>
  </w:style>
  <w:style w:type="paragraph" w:customStyle="1" w:styleId="Spacer">
    <w:name w:val="Spacer"/>
    <w:basedOn w:val="Normal"/>
    <w:rsid w:val="0020537E"/>
    <w:rPr>
      <w:sz w:val="2"/>
      <w:szCs w:val="2"/>
    </w:rPr>
  </w:style>
  <w:style w:type="character" w:customStyle="1" w:styleId="Small">
    <w:name w:val="Small"/>
    <w:basedOn w:val="DefaultParagraphFont"/>
    <w:rsid w:val="0020537E"/>
    <w:rPr>
      <w:sz w:val="16"/>
    </w:rPr>
  </w:style>
  <w:style w:type="paragraph" w:customStyle="1" w:styleId="WideTable">
    <w:name w:val="Wide Table"/>
    <w:basedOn w:val="Normal"/>
    <w:rsid w:val="0020537E"/>
    <w:pPr>
      <w:ind w:left="-1418"/>
    </w:pPr>
    <w:rPr>
      <w:sz w:val="2"/>
      <w:szCs w:val="2"/>
    </w:rPr>
  </w:style>
  <w:style w:type="character" w:styleId="PageNumber">
    <w:name w:val="page number"/>
    <w:basedOn w:val="DefaultParagraphFont"/>
    <w:rsid w:val="0020537E"/>
  </w:style>
  <w:style w:type="paragraph" w:styleId="Quote">
    <w:name w:val="Quote"/>
    <w:basedOn w:val="Heading1"/>
    <w:link w:val="QuoteChar"/>
    <w:qFormat/>
    <w:rsid w:val="0020537E"/>
    <w:rPr>
      <w:b w:val="0"/>
      <w:sz w:val="72"/>
      <w:szCs w:val="72"/>
      <w:lang w:val="en-NZ"/>
    </w:rPr>
  </w:style>
  <w:style w:type="character" w:customStyle="1" w:styleId="QuoteChar">
    <w:name w:val="Quote Char"/>
    <w:basedOn w:val="DefaultParagraphFont"/>
    <w:link w:val="Quote"/>
    <w:rsid w:val="00205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37E"/>
    <w:pPr>
      <w:pageBreakBefore/>
    </w:pPr>
  </w:style>
  <w:style w:type="paragraph" w:customStyle="1" w:styleId="Border">
    <w:name w:val="Border"/>
    <w:basedOn w:val="Normal"/>
    <w:qFormat/>
    <w:rsid w:val="00205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37E"/>
    <w:rPr>
      <w:b/>
      <w:bCs/>
      <w:i/>
      <w:iCs/>
      <w:color w:val="auto"/>
    </w:rPr>
  </w:style>
  <w:style w:type="paragraph" w:styleId="IntenseQuote">
    <w:name w:val="Intense Quote"/>
    <w:basedOn w:val="Normal"/>
    <w:next w:val="Normal"/>
    <w:link w:val="IntenseQuoteChar"/>
    <w:uiPriority w:val="30"/>
    <w:qFormat/>
    <w:rsid w:val="00205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37E"/>
    <w:rPr>
      <w:smallCaps/>
      <w:color w:val="auto"/>
      <w:u w:val="single"/>
    </w:rPr>
  </w:style>
  <w:style w:type="character" w:styleId="IntenseReference">
    <w:name w:val="Intense Reference"/>
    <w:basedOn w:val="DefaultParagraphFont"/>
    <w:uiPriority w:val="32"/>
    <w:qFormat/>
    <w:rsid w:val="0020537E"/>
    <w:rPr>
      <w:b/>
      <w:bCs/>
      <w:smallCaps/>
      <w:color w:val="auto"/>
      <w:spacing w:val="5"/>
      <w:u w:val="single"/>
    </w:rPr>
  </w:style>
  <w:style w:type="paragraph" w:customStyle="1" w:styleId="2ColumnHeading">
    <w:name w:val="2Column Heading"/>
    <w:basedOn w:val="BodyText"/>
    <w:qFormat/>
    <w:rsid w:val="0020537E"/>
    <w:pPr>
      <w:spacing w:after="60"/>
      <w:ind w:left="-2268"/>
    </w:pPr>
    <w:rPr>
      <w:b/>
    </w:rPr>
  </w:style>
  <w:style w:type="paragraph" w:customStyle="1" w:styleId="Heading1TOC">
    <w:name w:val="Heading1 TOC"/>
    <w:basedOn w:val="Normal"/>
    <w:qFormat/>
    <w:rsid w:val="0020537E"/>
    <w:pPr>
      <w:spacing w:before="240" w:after="120"/>
    </w:pPr>
    <w:rPr>
      <w:rFonts w:ascii="Times New Roman" w:hAnsi="Times New Roman"/>
      <w:b/>
      <w:sz w:val="32"/>
    </w:rPr>
  </w:style>
  <w:style w:type="paragraph" w:customStyle="1" w:styleId="Heading2TOC">
    <w:name w:val="Heading2 TOC"/>
    <w:basedOn w:val="Normal"/>
    <w:qFormat/>
    <w:rsid w:val="0020537E"/>
    <w:pPr>
      <w:spacing w:before="240" w:after="60"/>
    </w:pPr>
    <w:rPr>
      <w:rFonts w:ascii="Times New Roman" w:hAnsi="Times New Roman"/>
      <w:b/>
      <w:sz w:val="28"/>
    </w:rPr>
  </w:style>
  <w:style w:type="character" w:customStyle="1" w:styleId="Underline">
    <w:name w:val="Underline"/>
    <w:basedOn w:val="DefaultParagraphFont"/>
    <w:qFormat/>
    <w:rsid w:val="0020537E"/>
    <w:rPr>
      <w:u w:val="single"/>
    </w:rPr>
  </w:style>
  <w:style w:type="character" w:customStyle="1" w:styleId="BoldandItalics">
    <w:name w:val="Bold and Italics"/>
    <w:qFormat/>
    <w:rsid w:val="0020537E"/>
    <w:rPr>
      <w:b/>
      <w:i/>
      <w:u w:val="none"/>
    </w:rPr>
  </w:style>
  <w:style w:type="paragraph" w:styleId="BalloonText">
    <w:name w:val="Balloon Text"/>
    <w:basedOn w:val="Normal"/>
    <w:link w:val="BalloonTextChar"/>
    <w:rsid w:val="0020537E"/>
    <w:rPr>
      <w:rFonts w:ascii="Tahoma" w:hAnsi="Tahoma" w:cs="Tahoma"/>
      <w:sz w:val="16"/>
      <w:szCs w:val="16"/>
    </w:rPr>
  </w:style>
  <w:style w:type="character" w:customStyle="1" w:styleId="BalloonTextChar">
    <w:name w:val="Balloon Text Char"/>
    <w:basedOn w:val="DefaultParagraphFont"/>
    <w:link w:val="BalloonText"/>
    <w:rsid w:val="00205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37E"/>
    <w:rPr>
      <w:b/>
      <w:color w:val="660033"/>
      <w:spacing w:val="0"/>
    </w:rPr>
  </w:style>
  <w:style w:type="paragraph" w:customStyle="1" w:styleId="Nameditemlist">
    <w:name w:val="Named item list"/>
    <w:basedOn w:val="BodyText"/>
    <w:qFormat/>
    <w:rsid w:val="0020537E"/>
    <w:pPr>
      <w:tabs>
        <w:tab w:val="left" w:pos="2835"/>
      </w:tabs>
      <w:ind w:left="2835" w:hanging="2835"/>
    </w:pPr>
  </w:style>
  <w:style w:type="paragraph" w:customStyle="1" w:styleId="BodyTextnopadding">
    <w:name w:val="Body Text no padding"/>
    <w:basedOn w:val="BodyText"/>
    <w:qFormat/>
    <w:rsid w:val="0020537E"/>
    <w:pPr>
      <w:spacing w:before="0" w:after="0"/>
    </w:pPr>
  </w:style>
  <w:style w:type="paragraph" w:customStyle="1" w:styleId="BodyTextBold">
    <w:name w:val="Body Text Bold"/>
    <w:basedOn w:val="BodyText"/>
    <w:qFormat/>
    <w:rsid w:val="0020537E"/>
    <w:rPr>
      <w:b/>
    </w:rPr>
  </w:style>
  <w:style w:type="character" w:styleId="Hyperlink">
    <w:name w:val="Hyperlink"/>
    <w:basedOn w:val="DefaultParagraphFont"/>
    <w:uiPriority w:val="99"/>
    <w:unhideWhenUsed/>
    <w:rsid w:val="00640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7141</Characters>
  <Application>Microsoft Office Word</Application>
  <DocSecurity>0</DocSecurity>
  <Lines>174</Lines>
  <Paragraphs>116</Paragraphs>
  <ScaleCrop>false</ScaleCrop>
  <Company>Author-it Software Corporation Ltd.</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RIIMCU503D Implement the gas drainage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