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B53" w:rsidP="00540B53">
      <w:pPr>
        <w:pStyle w:val="Title"/>
      </w:pPr>
      <w:r>
        <w:fldChar w:fldCharType="begin"/>
      </w:r>
      <w:r>
        <w:instrText xml:space="preserve"> TITLE   \* MERGEFORMAT </w:instrText>
      </w:r>
      <w:r>
        <w:fldChar w:fldCharType="separate"/>
      </w:r>
      <w:r>
        <w:t>Assessment Requirements for RIIMCU502E Implement the gas management plan</w:t>
      </w:r>
      <w:r>
        <w:fldChar w:fldCharType="end"/>
      </w:r>
    </w:p>
    <w:p w:rsidR="00540B53" w:rsidP="00540B53">
      <w:pPr>
        <w:pStyle w:val="Version"/>
        <w:sectPr w:rsidSect="00C27F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F1C" w:rsidP="00C27F1C">
      <w:pPr>
        <w:pStyle w:val="SuperHeading"/>
      </w:pPr>
      <w:r w:rsidRPr="00C27F1C">
        <w:t>Assessment Requirements for RIIMCU502E Implement the gas management plan</w:t>
      </w:r>
    </w:p>
    <w:p w:rsidR="00000000" w:rsidRPr="00C27F1C" w:rsidP="00C27F1C">
      <w:pPr>
        <w:pStyle w:val="Heading1"/>
      </w:pPr>
      <w:bookmarkStart w:id="1" w:name="O_1108520"/>
      <w:bookmarkEnd w:id="1"/>
      <w:r w:rsidRPr="00C27F1C">
        <w:t>Modification History</w:t>
      </w:r>
    </w:p>
    <w:tbl>
      <w:tblPr>
        <w:tblW w:w="9522" w:type="dxa"/>
        <w:tblLayout w:type="fixed"/>
        <w:tblCellMar>
          <w:left w:w="62" w:type="dxa"/>
          <w:right w:w="62" w:type="dxa"/>
        </w:tblCellMar>
        <w:tblLook w:val="0000"/>
      </w:tblPr>
      <w:tblGrid>
        <w:gridCol w:w="2929"/>
        <w:gridCol w:w="6593"/>
      </w:tblGrid>
      <w:tr w:rsidTr="00C27F1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F1C" w:rsidP="00C27F1C">
            <w:pPr>
              <w:pStyle w:val="BodyText"/>
            </w:pPr>
            <w:r w:rsidRPr="00C27F1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F1C">
            <w:pPr>
              <w:pStyle w:val="BodyText"/>
              <w:rPr>
                <w:lang w:val="en-NZ"/>
              </w:rPr>
            </w:pPr>
            <w:r w:rsidRPr="00C27F1C">
              <w:rPr>
                <w:rStyle w:val="SpecialBold"/>
              </w:rPr>
              <w:t>Comments</w:t>
            </w:r>
          </w:p>
        </w:tc>
      </w:tr>
      <w:tr w:rsidTr="00C27F1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F1C">
            <w:pPr>
              <w:pStyle w:val="BodyText"/>
              <w:rPr>
                <w:lang w:val="en-NZ"/>
              </w:rPr>
            </w:pPr>
            <w:r w:rsidRPr="00C27F1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F1C" w:rsidP="00C27F1C">
            <w:pPr>
              <w:pStyle w:val="BodyText"/>
            </w:pPr>
            <w:r w:rsidRPr="00C27F1C">
              <w:t>This version first released with RII Resources and Infrastructure Industry Training Package Version 5.0.</w:t>
            </w:r>
          </w:p>
        </w:tc>
      </w:tr>
    </w:tbl>
    <w:p w:rsidR="00000000" w:rsidRPr="00C27F1C" w:rsidP="00C27F1C">
      <w:pPr>
        <w:pStyle w:val="BodyText"/>
      </w:pPr>
    </w:p>
    <w:p w:rsidR="00000000" w:rsidRPr="00C27F1C" w:rsidP="00C27F1C">
      <w:pPr>
        <w:pStyle w:val="AllowPageBreak"/>
      </w:pPr>
    </w:p>
    <w:p w:rsidR="00000000" w:rsidRPr="00C27F1C" w:rsidP="00C27F1C">
      <w:pPr>
        <w:pStyle w:val="Heading1"/>
      </w:pPr>
      <w:bookmarkStart w:id="2" w:name="O_1108523"/>
      <w:bookmarkEnd w:id="2"/>
      <w:r w:rsidRPr="00C27F1C">
        <w:t>Performance Evidence</w:t>
      </w:r>
    </w:p>
    <w:p w:rsidR="00000000" w:rsidRPr="00C27F1C" w:rsidP="00540B53">
      <w:pPr>
        <w:pStyle w:val="BodyText"/>
      </w:pPr>
      <w:r w:rsidRPr="00C27F1C">
        <w:t>The candidate must demonstrate the ability to complete the tasks outlined in the elements, performance criteria and foundation skills of this unit, including evidence of the ability to:</w:t>
      </w:r>
    </w:p>
    <w:p w:rsidR="00000000" w:rsidRPr="00C27F1C" w:rsidP="00C27F1C">
      <w:pPr>
        <w:pStyle w:val="ListBullet"/>
      </w:pPr>
      <w:r w:rsidRPr="00C27F1C">
        <w:t>implement gas management plans</w:t>
      </w:r>
      <w:r w:rsidRPr="00C27F1C">
        <w:t xml:space="preserve"> on at least two occasions, including:</w:t>
      </w:r>
    </w:p>
    <w:p w:rsidR="00000000" w:rsidRPr="00C27F1C" w:rsidP="00C27F1C">
      <w:pPr>
        <w:pStyle w:val="ListBullet2"/>
      </w:pPr>
      <w:r w:rsidRPr="00C27F1C">
        <w:t>conducting investigations and preparing reports</w:t>
      </w:r>
    </w:p>
    <w:p w:rsidR="00000000" w:rsidRPr="00C27F1C" w:rsidP="00C27F1C">
      <w:pPr>
        <w:pStyle w:val="ListBullet2"/>
      </w:pPr>
      <w:r w:rsidRPr="00C27F1C">
        <w:t xml:space="preserve">conducting audit and review processes </w:t>
      </w:r>
    </w:p>
    <w:p w:rsidR="00000000" w:rsidRPr="00C27F1C" w:rsidP="00C27F1C">
      <w:pPr>
        <w:pStyle w:val="ListBullet2"/>
      </w:pPr>
      <w:r w:rsidRPr="00C27F1C">
        <w:t>completing site document control requirements</w:t>
      </w:r>
    </w:p>
    <w:p w:rsidR="00000000" w:rsidRPr="00C27F1C" w:rsidP="00C27F1C">
      <w:pPr>
        <w:pStyle w:val="ListBullet2"/>
      </w:pPr>
      <w:r w:rsidRPr="00C27F1C">
        <w:t>implementing procedures for relocation, operation and maintenance of drilling rigs and gas drainage infrastructure.</w:t>
      </w:r>
    </w:p>
    <w:p w:rsidR="00000000" w:rsidRPr="00C27F1C" w:rsidP="00C27F1C">
      <w:pPr>
        <w:pStyle w:val="List"/>
      </w:pPr>
    </w:p>
    <w:p w:rsidR="00000000" w:rsidRPr="00C27F1C" w:rsidP="00540B53">
      <w:pPr>
        <w:pStyle w:val="BodyText"/>
      </w:pPr>
      <w:r w:rsidRPr="00C27F1C">
        <w:t>During the above, the candidate must:</w:t>
      </w:r>
    </w:p>
    <w:p w:rsidR="00000000" w:rsidRPr="00C27F1C" w:rsidP="00C27F1C">
      <w:pPr>
        <w:pStyle w:val="ListBullet"/>
      </w:pPr>
      <w:r w:rsidRPr="00C27F1C">
        <w:t>locate and apply relevant legislation, documentation, policies and procedures and confirm work activ</w:t>
      </w:r>
      <w:r w:rsidRPr="00C27F1C">
        <w:t>ity is compliant</w:t>
      </w:r>
    </w:p>
    <w:p w:rsidR="00000000" w:rsidRPr="00C27F1C" w:rsidP="00C27F1C">
      <w:pPr>
        <w:pStyle w:val="ListBullet"/>
      </w:pPr>
      <w:r w:rsidRPr="00C27F1C">
        <w:t>apply procedures and techniques for implementing gas management plans, including:</w:t>
      </w:r>
    </w:p>
    <w:p w:rsidR="00000000" w:rsidRPr="00C27F1C" w:rsidP="00C27F1C">
      <w:pPr>
        <w:pStyle w:val="ListBullet2"/>
      </w:pPr>
      <w:r w:rsidRPr="00C27F1C">
        <w:t>operating hand held monitoring equipment</w:t>
      </w:r>
    </w:p>
    <w:p w:rsidR="00000000" w:rsidRPr="00C27F1C" w:rsidP="00C27F1C">
      <w:pPr>
        <w:pStyle w:val="ListBullet2"/>
      </w:pPr>
      <w:r w:rsidRPr="00C27F1C">
        <w:t>collecting, collating and evaluating gas management data</w:t>
      </w:r>
    </w:p>
    <w:p w:rsidR="00000000" w:rsidRPr="00C27F1C" w:rsidP="00C27F1C">
      <w:pPr>
        <w:pStyle w:val="ListBullet2"/>
      </w:pPr>
      <w:r w:rsidRPr="00C27F1C">
        <w:t>accessing, evaluating and applying data from monitoring sy</w:t>
      </w:r>
      <w:r w:rsidRPr="00C27F1C">
        <w:t>stems and equipment</w:t>
      </w:r>
    </w:p>
    <w:p w:rsidR="00000000" w:rsidRPr="00C27F1C" w:rsidP="00C27F1C">
      <w:pPr>
        <w:pStyle w:val="ListBullet2"/>
      </w:pPr>
      <w:r w:rsidRPr="00C27F1C">
        <w:t>applying risk management processes and techniques</w:t>
      </w:r>
    </w:p>
    <w:p w:rsidR="00000000" w:rsidRPr="00C27F1C" w:rsidP="00C27F1C">
      <w:pPr>
        <w:pStyle w:val="ListBullet2"/>
      </w:pPr>
      <w:r w:rsidRPr="00C27F1C">
        <w:t>accessing and analysing gas information related to the mine</w:t>
      </w:r>
    </w:p>
    <w:p w:rsidR="00000000" w:rsidRPr="00C27F1C" w:rsidP="00C27F1C">
      <w:pPr>
        <w:pStyle w:val="ListBullet2"/>
      </w:pPr>
      <w:r w:rsidRPr="00C27F1C">
        <w:t>interpreting and applying mathematical and scientific theorems/laws related to gas</w:t>
      </w:r>
    </w:p>
    <w:p w:rsidR="00000000" w:rsidRPr="00C27F1C" w:rsidP="00C27F1C">
      <w:pPr>
        <w:pStyle w:val="ListBullet"/>
      </w:pPr>
      <w:r w:rsidRPr="00C27F1C">
        <w:t>work with others to implement the gas management plan in a manner that meets required outcomes, including:</w:t>
      </w:r>
    </w:p>
    <w:p w:rsidR="00000000" w:rsidRPr="00C27F1C" w:rsidP="00C27F1C">
      <w:pPr>
        <w:pStyle w:val="ListBullet2"/>
      </w:pPr>
      <w:r w:rsidRPr="00C27F1C">
        <w:t>communicating clearly and concisely with others to receive and clarify work instructions, and convey work progress</w:t>
      </w:r>
    </w:p>
    <w:p w:rsidR="00000000" w:rsidRPr="00C27F1C" w:rsidP="00C27F1C">
      <w:pPr>
        <w:pStyle w:val="ListBullet2"/>
      </w:pPr>
      <w:r w:rsidRPr="00C27F1C">
        <w:t xml:space="preserve">identifying and implementing gas </w:t>
      </w:r>
      <w:r w:rsidRPr="00C27F1C">
        <w:t>management training requirements, programs, systems and procedures</w:t>
      </w:r>
    </w:p>
    <w:p w:rsidR="00000000" w:rsidRPr="00C27F1C" w:rsidP="00C27F1C">
      <w:pPr>
        <w:pStyle w:val="ListBullet2"/>
      </w:pPr>
      <w:r w:rsidRPr="00C27F1C">
        <w:t>identifying the relevant information and scope of the work necessary to meet required outcomes.</w:t>
      </w:r>
    </w:p>
    <w:p w:rsidR="00000000" w:rsidRPr="00C27F1C" w:rsidP="00C27F1C">
      <w:pPr>
        <w:pStyle w:val="AllowPageBreak"/>
      </w:pPr>
    </w:p>
    <w:p w:rsidR="00000000" w:rsidRPr="00C27F1C" w:rsidP="00C27F1C">
      <w:pPr>
        <w:pStyle w:val="Heading1"/>
      </w:pPr>
      <w:bookmarkStart w:id="3" w:name="O_1108522"/>
      <w:bookmarkEnd w:id="3"/>
      <w:r w:rsidRPr="00C27F1C">
        <w:t>Knowledge Evidence</w:t>
      </w:r>
    </w:p>
    <w:p w:rsidR="00000000" w:rsidRPr="00C27F1C" w:rsidP="00540B53">
      <w:pPr>
        <w:pStyle w:val="BodyText"/>
      </w:pPr>
      <w:r w:rsidRPr="00C27F1C">
        <w:t xml:space="preserve">The candidate must be able to demonstrate knowledge to </w:t>
      </w:r>
      <w:r w:rsidRPr="00C27F1C">
        <w:t>complete the tasks outlined in the elements, performance criteria and foundation skills of this unit, including knowledge of:</w:t>
      </w:r>
    </w:p>
    <w:p w:rsidR="00000000" w:rsidRPr="00C27F1C" w:rsidP="00C27F1C">
      <w:pPr>
        <w:pStyle w:val="ListBullet"/>
      </w:pPr>
      <w:r w:rsidRPr="00C27F1C">
        <w:t>key legislation required to implement gas management plans</w:t>
      </w:r>
    </w:p>
    <w:p w:rsidR="00000000" w:rsidRPr="00C27F1C" w:rsidP="00C27F1C">
      <w:pPr>
        <w:pStyle w:val="ListBullet"/>
      </w:pPr>
      <w:r w:rsidRPr="00C27F1C">
        <w:t xml:space="preserve">key procedures and documentation required to implement gas management </w:t>
      </w:r>
      <w:r w:rsidRPr="00C27F1C">
        <w:t>plans</w:t>
      </w:r>
    </w:p>
    <w:p w:rsidR="00000000" w:rsidRPr="00C27F1C" w:rsidP="00C27F1C">
      <w:pPr>
        <w:pStyle w:val="ListBullet"/>
      </w:pPr>
      <w:r w:rsidRPr="00C27F1C">
        <w:t>principles of ventilation management, including mine and goaf ventilation systems</w:t>
      </w:r>
    </w:p>
    <w:p w:rsidR="00000000" w:rsidRPr="00C27F1C" w:rsidP="00C27F1C">
      <w:pPr>
        <w:pStyle w:val="ListBullet"/>
      </w:pPr>
      <w:r w:rsidRPr="00C27F1C">
        <w:t>methods of mine ventilation and their applications and limitations, including:</w:t>
      </w:r>
    </w:p>
    <w:p w:rsidR="00000000" w:rsidRPr="00C27F1C" w:rsidP="00C27F1C">
      <w:pPr>
        <w:pStyle w:val="ListBullet2"/>
      </w:pPr>
      <w:r w:rsidRPr="00C27F1C">
        <w:t>exhaust/force</w:t>
      </w:r>
    </w:p>
    <w:p w:rsidR="00000000" w:rsidRPr="00C27F1C" w:rsidP="00C27F1C">
      <w:pPr>
        <w:pStyle w:val="ListBullet2"/>
      </w:pPr>
      <w:r w:rsidRPr="00C27F1C">
        <w:t>antitropal</w:t>
      </w:r>
    </w:p>
    <w:p w:rsidR="00000000" w:rsidRPr="00C27F1C" w:rsidP="00C27F1C">
      <w:pPr>
        <w:pStyle w:val="ListBullet2"/>
      </w:pPr>
      <w:r w:rsidRPr="00C27F1C">
        <w:t>homotropal</w:t>
      </w:r>
    </w:p>
    <w:p w:rsidR="00000000" w:rsidRPr="00C27F1C" w:rsidP="00C27F1C">
      <w:pPr>
        <w:pStyle w:val="ListBullet2"/>
      </w:pPr>
      <w:r w:rsidRPr="00C27F1C">
        <w:t>flank returns</w:t>
      </w:r>
    </w:p>
    <w:p w:rsidR="00000000" w:rsidRPr="00C27F1C" w:rsidP="00C27F1C">
      <w:pPr>
        <w:pStyle w:val="ListBullet2"/>
      </w:pPr>
      <w:r w:rsidRPr="00C27F1C">
        <w:t>ascensional/decensional</w:t>
      </w:r>
    </w:p>
    <w:p w:rsidR="00000000" w:rsidRPr="00C27F1C" w:rsidP="00C27F1C">
      <w:pPr>
        <w:pStyle w:val="ListBullet2"/>
      </w:pPr>
      <w:r w:rsidRPr="00C27F1C">
        <w:t>bleeder</w:t>
      </w:r>
    </w:p>
    <w:p w:rsidR="00000000" w:rsidRPr="00C27F1C" w:rsidP="00C27F1C">
      <w:pPr>
        <w:pStyle w:val="ListBullet2"/>
      </w:pPr>
      <w:r w:rsidRPr="00C27F1C">
        <w:t>Z/U/Y systems</w:t>
      </w:r>
    </w:p>
    <w:p w:rsidR="00000000" w:rsidRPr="00C27F1C" w:rsidP="00C27F1C">
      <w:pPr>
        <w:pStyle w:val="ListBullet"/>
      </w:pPr>
      <w:r w:rsidRPr="00C27F1C">
        <w:t>methods of panel gas management and their applications and limitations, including:</w:t>
      </w:r>
    </w:p>
    <w:p w:rsidR="00000000" w:rsidRPr="00C27F1C" w:rsidP="00C27F1C">
      <w:pPr>
        <w:pStyle w:val="ListBullet2"/>
      </w:pPr>
      <w:r w:rsidRPr="00C27F1C">
        <w:t>homotropal and antitropal, including in conjunction with use of goaf bleed and back return</w:t>
      </w:r>
    </w:p>
    <w:p w:rsidR="00000000" w:rsidRPr="00C27F1C" w:rsidP="00C27F1C">
      <w:pPr>
        <w:pStyle w:val="ListBullet2"/>
      </w:pPr>
      <w:r w:rsidRPr="00C27F1C">
        <w:t>auxiliary fans</w:t>
      </w:r>
    </w:p>
    <w:p w:rsidR="00000000" w:rsidRPr="00C27F1C" w:rsidP="00C27F1C">
      <w:pPr>
        <w:pStyle w:val="ListBullet2"/>
      </w:pPr>
      <w:r w:rsidRPr="00C27F1C">
        <w:t>coursed ventilation (narrow side/wide side)</w:t>
      </w:r>
    </w:p>
    <w:p w:rsidR="00000000" w:rsidRPr="00C27F1C" w:rsidP="00C27F1C">
      <w:pPr>
        <w:pStyle w:val="ListBullet2"/>
      </w:pPr>
      <w:r w:rsidRPr="00C27F1C">
        <w:t>machine</w:t>
      </w:r>
      <w:r w:rsidRPr="00C27F1C">
        <w:t xml:space="preserve"> mounted scrubber systems</w:t>
      </w:r>
    </w:p>
    <w:p w:rsidR="00000000" w:rsidRPr="00C27F1C" w:rsidP="00C27F1C">
      <w:pPr>
        <w:pStyle w:val="ListBullet2"/>
      </w:pPr>
      <w:r w:rsidRPr="00C27F1C">
        <w:t>compressed air venturis</w:t>
      </w:r>
    </w:p>
    <w:p w:rsidR="00000000" w:rsidRPr="00C27F1C" w:rsidP="00C27F1C">
      <w:pPr>
        <w:pStyle w:val="ListBullet2"/>
      </w:pPr>
      <w:r w:rsidRPr="00C27F1C">
        <w:t>bleeders</w:t>
      </w:r>
    </w:p>
    <w:p w:rsidR="00000000" w:rsidRPr="00C27F1C" w:rsidP="00C27F1C">
      <w:pPr>
        <w:pStyle w:val="ListBullet"/>
      </w:pPr>
      <w:r w:rsidRPr="00C27F1C">
        <w:t xml:space="preserve">methods of gas drainage, including: </w:t>
      </w:r>
    </w:p>
    <w:p w:rsidR="00000000" w:rsidRPr="00C27F1C" w:rsidP="00C27F1C">
      <w:pPr>
        <w:pStyle w:val="ListBullet2"/>
      </w:pPr>
      <w:r w:rsidRPr="00C27F1C">
        <w:t>applications and limitations against mine design, mine and panel ventilation systems, systems of mining and current and future mine development</w:t>
      </w:r>
    </w:p>
    <w:p w:rsidR="00000000" w:rsidRPr="00C27F1C" w:rsidP="00C27F1C">
      <w:pPr>
        <w:pStyle w:val="ListBullet2"/>
      </w:pPr>
      <w:r w:rsidRPr="00C27F1C">
        <w:t>coal character</w:t>
      </w:r>
      <w:r w:rsidRPr="00C27F1C">
        <w:t>istics and coal seam gradients on mine gas management plans</w:t>
      </w:r>
    </w:p>
    <w:p w:rsidR="00000000" w:rsidRPr="00C27F1C" w:rsidP="00C27F1C">
      <w:pPr>
        <w:pStyle w:val="ListBullet2"/>
      </w:pPr>
      <w:r w:rsidRPr="00C27F1C">
        <w:t>mining techniques and impact of mine and panel design on gas management</w:t>
      </w:r>
    </w:p>
    <w:p w:rsidR="00000000" w:rsidRPr="00C27F1C" w:rsidP="00C27F1C">
      <w:pPr>
        <w:pStyle w:val="ListBullet2"/>
      </w:pPr>
      <w:r w:rsidRPr="00C27F1C">
        <w:t>gas drainage on airborne contaminant generation during mining</w:t>
      </w:r>
    </w:p>
    <w:p w:rsidR="00000000" w:rsidRPr="00C27F1C" w:rsidP="00C27F1C">
      <w:pPr>
        <w:pStyle w:val="ListBullet"/>
      </w:pPr>
      <w:r w:rsidRPr="00C27F1C">
        <w:t>techniques for applying geological data and identifying impact of differing geological features and conditions on gas management and outburst, including:</w:t>
      </w:r>
    </w:p>
    <w:p w:rsidR="00000000" w:rsidRPr="00C27F1C" w:rsidP="00C27F1C">
      <w:pPr>
        <w:pStyle w:val="ListBullet2"/>
      </w:pPr>
      <w:r w:rsidRPr="00C27F1C">
        <w:t>faults</w:t>
      </w:r>
    </w:p>
    <w:p w:rsidR="00000000" w:rsidRPr="00C27F1C" w:rsidP="00C27F1C">
      <w:pPr>
        <w:pStyle w:val="ListBullet2"/>
      </w:pPr>
      <w:r w:rsidRPr="00C27F1C">
        <w:t>dykes</w:t>
      </w:r>
    </w:p>
    <w:p w:rsidR="00000000" w:rsidRPr="00C27F1C" w:rsidP="00C27F1C">
      <w:pPr>
        <w:pStyle w:val="ListBullet2"/>
      </w:pPr>
      <w:r w:rsidRPr="00C27F1C">
        <w:t>intrusions</w:t>
      </w:r>
    </w:p>
    <w:p w:rsidR="00000000" w:rsidRPr="00C27F1C" w:rsidP="00C27F1C">
      <w:pPr>
        <w:pStyle w:val="ListBullet2"/>
      </w:pPr>
      <w:r w:rsidRPr="00C27F1C">
        <w:t>strata deformities</w:t>
      </w:r>
    </w:p>
    <w:p w:rsidR="00000000" w:rsidRPr="00C27F1C" w:rsidP="00C27F1C">
      <w:pPr>
        <w:pStyle w:val="ListBullet"/>
      </w:pPr>
      <w:r w:rsidRPr="00C27F1C">
        <w:t>impacts of intersecting and intersected holes and hole de</w:t>
      </w:r>
      <w:r w:rsidRPr="00C27F1C">
        <w:t>sign components and factors relating to gas management plans, including:</w:t>
      </w:r>
    </w:p>
    <w:p w:rsidR="00000000" w:rsidRPr="00C27F1C" w:rsidP="00C27F1C">
      <w:pPr>
        <w:pStyle w:val="ListBullet2"/>
      </w:pPr>
      <w:r w:rsidRPr="00C27F1C">
        <w:t xml:space="preserve">types of mine gases, including: </w:t>
      </w:r>
    </w:p>
    <w:p w:rsidR="00000000" w:rsidRPr="00C27F1C" w:rsidP="00C27F1C">
      <w:pPr>
        <w:pStyle w:val="ListBullet3"/>
      </w:pPr>
      <w:r w:rsidRPr="00C27F1C">
        <w:t>characteristics under varying circumstances</w:t>
      </w:r>
    </w:p>
    <w:p w:rsidR="00000000" w:rsidRPr="00C27F1C" w:rsidP="00C27F1C">
      <w:pPr>
        <w:pStyle w:val="ListBullet3"/>
      </w:pPr>
      <w:r w:rsidRPr="00C27F1C">
        <w:t>sources</w:t>
      </w:r>
    </w:p>
    <w:p w:rsidR="00000000" w:rsidRPr="00C27F1C" w:rsidP="00C27F1C">
      <w:pPr>
        <w:pStyle w:val="ListBullet3"/>
      </w:pPr>
      <w:r w:rsidRPr="00C27F1C">
        <w:t>physiological effects</w:t>
      </w:r>
    </w:p>
    <w:p w:rsidR="00000000" w:rsidRPr="00C27F1C" w:rsidP="00C27F1C">
      <w:pPr>
        <w:pStyle w:val="ListBullet3"/>
      </w:pPr>
      <w:r w:rsidRPr="00C27F1C">
        <w:t>methods of detection</w:t>
      </w:r>
    </w:p>
    <w:p w:rsidR="00000000" w:rsidRPr="00C27F1C" w:rsidP="00C27F1C">
      <w:pPr>
        <w:pStyle w:val="ListBullet2"/>
      </w:pPr>
      <w:r w:rsidRPr="00C27F1C">
        <w:t>types of mine fires and possible impacts on gas management</w:t>
      </w:r>
    </w:p>
    <w:p w:rsidR="00000000" w:rsidRPr="00C27F1C" w:rsidP="00C27F1C">
      <w:pPr>
        <w:pStyle w:val="ListBullet2"/>
      </w:pPr>
      <w:r w:rsidRPr="00C27F1C">
        <w:t>types of mine explosions, including ignition sources and possible impacts on gas management</w:t>
      </w:r>
    </w:p>
    <w:p w:rsidR="00000000" w:rsidRPr="00C27F1C" w:rsidP="00C27F1C">
      <w:pPr>
        <w:pStyle w:val="ListBullet2"/>
      </w:pPr>
      <w:r w:rsidRPr="00C27F1C">
        <w:t>causes of pressure changes and impacts on gas management</w:t>
      </w:r>
    </w:p>
    <w:p w:rsidR="00000000" w:rsidRPr="00C27F1C" w:rsidP="00C27F1C">
      <w:pPr>
        <w:pStyle w:val="ListBullet2"/>
      </w:pPr>
      <w:r w:rsidRPr="00C27F1C">
        <w:t>sources of heat and humidity and factors which m</w:t>
      </w:r>
      <w:r w:rsidRPr="00C27F1C">
        <w:t>ay impact mine gas management</w:t>
      </w:r>
    </w:p>
    <w:p w:rsidR="00000000" w:rsidRPr="00C27F1C" w:rsidP="00C27F1C">
      <w:pPr>
        <w:pStyle w:val="ListBullet2"/>
      </w:pPr>
      <w:r w:rsidRPr="00C27F1C">
        <w:t>effects of re-circulation</w:t>
      </w:r>
    </w:p>
    <w:p w:rsidR="00000000" w:rsidRPr="00C27F1C" w:rsidP="00C27F1C">
      <w:pPr>
        <w:pStyle w:val="ListBullet2"/>
      </w:pPr>
      <w:r w:rsidRPr="00C27F1C">
        <w:t xml:space="preserve">outburst control methods </w:t>
      </w:r>
    </w:p>
    <w:p w:rsidR="00000000" w:rsidRPr="00C27F1C" w:rsidP="00C27F1C">
      <w:pPr>
        <w:pStyle w:val="ListBullet2"/>
      </w:pPr>
      <w:r w:rsidRPr="00C27F1C">
        <w:t>underground water management techniques</w:t>
      </w:r>
    </w:p>
    <w:p w:rsidR="00000000" w:rsidRPr="00C27F1C" w:rsidP="00C27F1C">
      <w:pPr>
        <w:pStyle w:val="ListBullet2"/>
      </w:pPr>
      <w:r w:rsidRPr="00C27F1C">
        <w:t>inertisation techniques</w:t>
      </w:r>
    </w:p>
    <w:p w:rsidR="00000000" w:rsidRPr="00C27F1C" w:rsidP="00C27F1C">
      <w:pPr>
        <w:pStyle w:val="ListBullet"/>
      </w:pPr>
      <w:r w:rsidRPr="00C27F1C">
        <w:t>types, characteristics, applications, limitations of equipment, monitoring systems and techniques, including:</w:t>
      </w:r>
    </w:p>
    <w:p w:rsidR="00000000" w:rsidRPr="00C27F1C" w:rsidP="00C27F1C">
      <w:pPr>
        <w:pStyle w:val="ListBullet2"/>
      </w:pPr>
      <w:r w:rsidRPr="00C27F1C">
        <w:t>mine fans</w:t>
      </w:r>
    </w:p>
    <w:p w:rsidR="00000000" w:rsidRPr="00C27F1C" w:rsidP="00C27F1C">
      <w:pPr>
        <w:pStyle w:val="ListBullet2"/>
      </w:pPr>
      <w:r w:rsidRPr="00C27F1C">
        <w:t>gas control devices, including:</w:t>
      </w:r>
    </w:p>
    <w:p w:rsidR="00000000" w:rsidRPr="00C27F1C" w:rsidP="00C27F1C">
      <w:pPr>
        <w:pStyle w:val="ListBullet3"/>
      </w:pPr>
      <w:r w:rsidRPr="00C27F1C">
        <w:t>design criteria and specifications</w:t>
      </w:r>
    </w:p>
    <w:p w:rsidR="00000000" w:rsidRPr="00C27F1C" w:rsidP="00C27F1C">
      <w:pPr>
        <w:pStyle w:val="ListBullet3"/>
      </w:pPr>
      <w:r w:rsidRPr="00C27F1C">
        <w:t>distribution/placement criteria</w:t>
      </w:r>
    </w:p>
    <w:p w:rsidR="00000000" w:rsidRPr="00C27F1C" w:rsidP="00C27F1C">
      <w:pPr>
        <w:pStyle w:val="ListBullet2"/>
      </w:pPr>
      <w:r w:rsidRPr="00C27F1C">
        <w:t>de-gassing methods of control, including:</w:t>
      </w:r>
    </w:p>
    <w:p w:rsidR="00000000" w:rsidRPr="00C27F1C" w:rsidP="00C27F1C">
      <w:pPr>
        <w:pStyle w:val="ListBullet3"/>
      </w:pPr>
      <w:r w:rsidRPr="00C27F1C">
        <w:t>brattice</w:t>
      </w:r>
    </w:p>
    <w:p w:rsidR="00000000" w:rsidRPr="00C27F1C" w:rsidP="00C27F1C">
      <w:pPr>
        <w:pStyle w:val="ListBullet3"/>
      </w:pPr>
      <w:r w:rsidRPr="00C27F1C">
        <w:t>auxiliary fans</w:t>
      </w:r>
    </w:p>
    <w:p w:rsidR="00000000" w:rsidRPr="00C27F1C" w:rsidP="00C27F1C">
      <w:pPr>
        <w:pStyle w:val="ListBullet3"/>
      </w:pPr>
      <w:r w:rsidRPr="00C27F1C">
        <w:t>compressed air venturis</w:t>
      </w:r>
    </w:p>
    <w:p w:rsidR="00000000" w:rsidRPr="00C27F1C" w:rsidP="00C27F1C">
      <w:pPr>
        <w:pStyle w:val="ListBullet3"/>
      </w:pPr>
      <w:r w:rsidRPr="00C27F1C">
        <w:t>sails</w:t>
      </w:r>
    </w:p>
    <w:p w:rsidR="00000000" w:rsidRPr="00C27F1C" w:rsidP="00C27F1C">
      <w:pPr>
        <w:pStyle w:val="ListBullet3"/>
      </w:pPr>
      <w:r w:rsidRPr="00C27F1C">
        <w:t>hurdles</w:t>
      </w:r>
    </w:p>
    <w:p w:rsidR="00000000" w:rsidRPr="00C27F1C" w:rsidP="00C27F1C">
      <w:pPr>
        <w:pStyle w:val="ListBullet3"/>
      </w:pPr>
      <w:r w:rsidRPr="00C27F1C">
        <w:t>bleeders</w:t>
      </w:r>
    </w:p>
    <w:p w:rsidR="00000000" w:rsidRPr="00C27F1C" w:rsidP="00C27F1C">
      <w:pPr>
        <w:pStyle w:val="ListBullet2"/>
      </w:pPr>
      <w:r w:rsidRPr="00C27F1C">
        <w:t>fixed gas monitoring systems</w:t>
      </w:r>
    </w:p>
    <w:p w:rsidR="00000000" w:rsidRPr="00C27F1C" w:rsidP="00C27F1C">
      <w:pPr>
        <w:pStyle w:val="ListBullet2"/>
      </w:pPr>
      <w:r w:rsidRPr="00C27F1C">
        <w:t>portable monitoring equipment</w:t>
      </w:r>
    </w:p>
    <w:p w:rsidR="00000000" w:rsidRPr="00C27F1C" w:rsidP="00C27F1C">
      <w:pPr>
        <w:pStyle w:val="ListBullet2"/>
      </w:pPr>
      <w:r w:rsidRPr="00C27F1C">
        <w:t>computer-based systems for mine gas analysis</w:t>
      </w:r>
    </w:p>
    <w:p w:rsidR="00000000" w:rsidRPr="00C27F1C" w:rsidP="00C27F1C">
      <w:pPr>
        <w:pStyle w:val="ListBullet2"/>
      </w:pPr>
      <w:r w:rsidRPr="00C27F1C">
        <w:t>gas surveys types, frequency and method for conducting, including:</w:t>
      </w:r>
    </w:p>
    <w:p w:rsidR="00000000" w:rsidRPr="00C27F1C" w:rsidP="00C27F1C">
      <w:pPr>
        <w:pStyle w:val="ListBullet3"/>
      </w:pPr>
      <w:r w:rsidRPr="00C27F1C">
        <w:t>pressure</w:t>
      </w:r>
    </w:p>
    <w:p w:rsidR="00000000" w:rsidRPr="00C27F1C" w:rsidP="00C27F1C">
      <w:pPr>
        <w:pStyle w:val="ListBullet3"/>
      </w:pPr>
      <w:r w:rsidRPr="00C27F1C">
        <w:t>quantity</w:t>
      </w:r>
    </w:p>
    <w:p w:rsidR="00000000" w:rsidRPr="00C27F1C" w:rsidP="00C27F1C">
      <w:pPr>
        <w:pStyle w:val="ListBullet3"/>
      </w:pPr>
      <w:r w:rsidRPr="00C27F1C">
        <w:t>temperature</w:t>
      </w:r>
    </w:p>
    <w:p w:rsidR="00000000" w:rsidRPr="00C27F1C" w:rsidP="00C27F1C">
      <w:pPr>
        <w:pStyle w:val="ListBullet3"/>
      </w:pPr>
      <w:r w:rsidRPr="00C27F1C">
        <w:t>gas</w:t>
      </w:r>
    </w:p>
    <w:p w:rsidR="00000000" w:rsidRPr="00C27F1C" w:rsidP="00C27F1C">
      <w:pPr>
        <w:pStyle w:val="ListBullet2"/>
      </w:pPr>
      <w:r w:rsidRPr="00C27F1C">
        <w:t>ventilation survey types, frequency and method for conducting, including:</w:t>
      </w:r>
    </w:p>
    <w:p w:rsidR="00000000" w:rsidRPr="00C27F1C" w:rsidP="00C27F1C">
      <w:pPr>
        <w:pStyle w:val="ListBullet3"/>
      </w:pPr>
      <w:r w:rsidRPr="00C27F1C">
        <w:t>pr</w:t>
      </w:r>
      <w:r w:rsidRPr="00C27F1C">
        <w:t>essure</w:t>
      </w:r>
    </w:p>
    <w:p w:rsidR="00000000" w:rsidRPr="00C27F1C" w:rsidP="00C27F1C">
      <w:pPr>
        <w:pStyle w:val="ListBullet3"/>
      </w:pPr>
      <w:r w:rsidRPr="00C27F1C">
        <w:t>temperature</w:t>
      </w:r>
    </w:p>
    <w:p w:rsidR="00000000" w:rsidRPr="00C27F1C" w:rsidP="00C27F1C">
      <w:pPr>
        <w:pStyle w:val="ListBullet3"/>
      </w:pPr>
      <w:r w:rsidRPr="00C27F1C">
        <w:t>gas</w:t>
      </w:r>
    </w:p>
    <w:p w:rsidR="00000000" w:rsidRPr="00C27F1C" w:rsidP="00C27F1C">
      <w:pPr>
        <w:pStyle w:val="ListBullet2"/>
      </w:pPr>
      <w:r w:rsidRPr="00C27F1C">
        <w:t>alarms and trigger points and levels</w:t>
      </w:r>
    </w:p>
    <w:p w:rsidR="00000000" w:rsidRPr="00C27F1C" w:rsidP="00C27F1C">
      <w:pPr>
        <w:pStyle w:val="ListBullet2"/>
      </w:pPr>
      <w:r w:rsidRPr="00C27F1C">
        <w:t>mine and goaf ventilation systems, including the following ventilation devices:</w:t>
      </w:r>
    </w:p>
    <w:p w:rsidR="00000000" w:rsidRPr="00C27F1C" w:rsidP="00C27F1C">
      <w:pPr>
        <w:pStyle w:val="ListBullet3"/>
      </w:pPr>
      <w:r w:rsidRPr="00C27F1C">
        <w:t>stoppings</w:t>
      </w:r>
    </w:p>
    <w:p w:rsidR="00000000" w:rsidRPr="00C27F1C" w:rsidP="00C27F1C">
      <w:pPr>
        <w:pStyle w:val="ListBullet3"/>
      </w:pPr>
      <w:r w:rsidRPr="00C27F1C">
        <w:t>overcasts</w:t>
      </w:r>
    </w:p>
    <w:p w:rsidR="00000000" w:rsidRPr="00C27F1C" w:rsidP="00C27F1C">
      <w:pPr>
        <w:pStyle w:val="ListBullet3"/>
      </w:pPr>
      <w:r w:rsidRPr="00C27F1C">
        <w:t>regulators</w:t>
      </w:r>
    </w:p>
    <w:p w:rsidR="00000000" w:rsidRPr="00C27F1C" w:rsidP="00C27F1C">
      <w:pPr>
        <w:pStyle w:val="ListBullet3"/>
      </w:pPr>
      <w:r w:rsidRPr="00C27F1C">
        <w:t>preparation seals</w:t>
      </w:r>
    </w:p>
    <w:p w:rsidR="00000000" w:rsidRPr="00C27F1C" w:rsidP="00C27F1C">
      <w:pPr>
        <w:pStyle w:val="ListBullet3"/>
      </w:pPr>
      <w:r w:rsidRPr="00C27F1C">
        <w:t>ventilation doors</w:t>
      </w:r>
    </w:p>
    <w:p w:rsidR="00000000" w:rsidRPr="00C27F1C" w:rsidP="00C27F1C">
      <w:pPr>
        <w:pStyle w:val="ListBullet3"/>
      </w:pPr>
      <w:r w:rsidRPr="00C27F1C">
        <w:t>bulk heads</w:t>
      </w:r>
    </w:p>
    <w:p w:rsidR="00000000" w:rsidRPr="00C27F1C" w:rsidP="00C27F1C">
      <w:pPr>
        <w:pStyle w:val="ListBullet3"/>
      </w:pPr>
      <w:r w:rsidRPr="00C27F1C">
        <w:t>goaf seals</w:t>
      </w:r>
    </w:p>
    <w:p w:rsidR="00000000" w:rsidRPr="00C27F1C" w:rsidP="00C27F1C">
      <w:pPr>
        <w:pStyle w:val="ListBullet3"/>
      </w:pPr>
      <w:r w:rsidRPr="00C27F1C">
        <w:t>final seals</w:t>
      </w:r>
    </w:p>
    <w:p w:rsidR="00000000" w:rsidRPr="00C27F1C" w:rsidP="00C27F1C">
      <w:pPr>
        <w:pStyle w:val="ListBullet3"/>
      </w:pPr>
      <w:r w:rsidRPr="00C27F1C">
        <w:t>pressure chambers</w:t>
      </w:r>
    </w:p>
    <w:p w:rsidR="00000000" w:rsidRPr="00C27F1C" w:rsidP="00C27F1C">
      <w:pPr>
        <w:pStyle w:val="ListBullet3"/>
      </w:pPr>
      <w:r w:rsidRPr="00C27F1C">
        <w:t>air locks</w:t>
      </w:r>
    </w:p>
    <w:p w:rsidR="00000000" w:rsidRPr="00C27F1C" w:rsidP="00C27F1C">
      <w:pPr>
        <w:pStyle w:val="ListBullet2"/>
      </w:pPr>
      <w:r w:rsidRPr="00C27F1C">
        <w:t>sling psychrometers, anemometers and velometers</w:t>
      </w:r>
    </w:p>
    <w:p w:rsidR="00000000" w:rsidRPr="00C27F1C" w:rsidP="00C27F1C">
      <w:pPr>
        <w:pStyle w:val="ListBullet2"/>
      </w:pPr>
      <w:r w:rsidRPr="00C27F1C">
        <w:t>techniques for recording and reporting monitoring system data</w:t>
      </w:r>
    </w:p>
    <w:p w:rsidR="00000000" w:rsidRPr="00C27F1C" w:rsidP="00C27F1C">
      <w:pPr>
        <w:pStyle w:val="ListBullet"/>
      </w:pPr>
      <w:r w:rsidRPr="00C27F1C">
        <w:t>ventilation theory, including:</w:t>
      </w:r>
    </w:p>
    <w:p w:rsidR="00000000" w:rsidRPr="00C27F1C" w:rsidP="00C27F1C">
      <w:pPr>
        <w:pStyle w:val="ListBullet2"/>
      </w:pPr>
      <w:r w:rsidRPr="00C27F1C">
        <w:t>gas laws, including Charles’s law and Boyle’s law</w:t>
      </w:r>
    </w:p>
    <w:p w:rsidR="00000000" w:rsidRPr="00C27F1C" w:rsidP="00C27F1C">
      <w:pPr>
        <w:pStyle w:val="ListBullet2"/>
      </w:pPr>
      <w:r w:rsidRPr="00C27F1C">
        <w:t xml:space="preserve">natural ventilation </w:t>
      </w:r>
    </w:p>
    <w:p w:rsidR="00000000" w:rsidRPr="00C27F1C" w:rsidP="00C27F1C">
      <w:pPr>
        <w:pStyle w:val="ListBullet2"/>
      </w:pPr>
      <w:r w:rsidRPr="00C27F1C">
        <w:t>Coward’</w:t>
      </w:r>
      <w:r w:rsidRPr="00C27F1C">
        <w:t>s triangle</w:t>
      </w:r>
    </w:p>
    <w:p w:rsidR="00000000" w:rsidRPr="00C27F1C" w:rsidP="00C27F1C">
      <w:pPr>
        <w:pStyle w:val="ListBullet2"/>
      </w:pPr>
      <w:r w:rsidRPr="00C27F1C">
        <w:t>Graham’s ratio</w:t>
      </w:r>
    </w:p>
    <w:p w:rsidR="00000000" w:rsidRPr="00C27F1C" w:rsidP="00C27F1C">
      <w:pPr>
        <w:pStyle w:val="ListBullet2"/>
      </w:pPr>
      <w:r w:rsidRPr="00C27F1C">
        <w:t>Ellicott Diagram</w:t>
      </w:r>
    </w:p>
    <w:p w:rsidR="00000000" w:rsidRPr="00C27F1C" w:rsidP="00C27F1C">
      <w:pPr>
        <w:pStyle w:val="ListBullet2"/>
      </w:pPr>
      <w:r w:rsidRPr="00C27F1C">
        <w:t>gas make</w:t>
      </w:r>
    </w:p>
    <w:p w:rsidR="00000000" w:rsidRPr="00C27F1C" w:rsidP="00C27F1C">
      <w:pPr>
        <w:pStyle w:val="ListBullet2"/>
      </w:pPr>
      <w:r w:rsidRPr="00C27F1C">
        <w:t>Trickett’s ratio</w:t>
      </w:r>
    </w:p>
    <w:p w:rsidR="00000000" w:rsidRPr="00C27F1C" w:rsidP="00C27F1C">
      <w:pPr>
        <w:pStyle w:val="ListBullet2"/>
      </w:pPr>
      <w:r w:rsidRPr="00C27F1C">
        <w:t>leakage</w:t>
      </w:r>
    </w:p>
    <w:p w:rsidR="00000000" w:rsidRPr="00C27F1C" w:rsidP="00C27F1C">
      <w:pPr>
        <w:pStyle w:val="ListBullet2"/>
      </w:pPr>
      <w:r w:rsidRPr="00C27F1C">
        <w:t>psychrometry and heat</w:t>
      </w:r>
    </w:p>
    <w:p w:rsidR="00000000" w:rsidRPr="00C27F1C" w:rsidP="00C27F1C">
      <w:pPr>
        <w:pStyle w:val="ListBullet2"/>
      </w:pPr>
      <w:r w:rsidRPr="00C27F1C">
        <w:t>CO and CO</w:t>
      </w:r>
      <w:r w:rsidRPr="00C27F1C">
        <w:rPr>
          <w:rStyle w:val="Superscript"/>
        </w:rPr>
        <w:t>2</w:t>
      </w:r>
      <w:r w:rsidRPr="00C27F1C">
        <w:t xml:space="preserve"> ratios</w:t>
      </w:r>
    </w:p>
    <w:p w:rsidR="00000000" w:rsidRPr="00C27F1C" w:rsidP="00C27F1C">
      <w:pPr>
        <w:pStyle w:val="ListBullet2"/>
      </w:pPr>
      <w:r w:rsidRPr="00C27F1C">
        <w:t>Kirchoff’s laws</w:t>
      </w:r>
    </w:p>
    <w:p w:rsidR="00000000" w:rsidRPr="00C27F1C" w:rsidP="00C27F1C">
      <w:pPr>
        <w:pStyle w:val="ListBullet"/>
      </w:pPr>
      <w:r w:rsidRPr="00C27F1C">
        <w:t>techniques for identifying individual training needs</w:t>
      </w:r>
    </w:p>
    <w:p w:rsidR="00000000" w:rsidRPr="00C27F1C" w:rsidP="00C27F1C">
      <w:pPr>
        <w:pStyle w:val="ListBullet"/>
      </w:pPr>
      <w:r w:rsidRPr="00C27F1C">
        <w:t>techniques for auditing and reviewing gas management systems and processes</w:t>
      </w:r>
    </w:p>
    <w:p w:rsidR="00000000" w:rsidRPr="00C27F1C" w:rsidP="00C27F1C">
      <w:pPr>
        <w:pStyle w:val="ListBullet"/>
      </w:pPr>
      <w:r w:rsidRPr="00C27F1C">
        <w:t>principles, processes and techniques for emergency response, evacuation and disaster planning</w:t>
      </w:r>
    </w:p>
    <w:p w:rsidR="00000000" w:rsidRPr="00C27F1C" w:rsidP="00C27F1C">
      <w:pPr>
        <w:pStyle w:val="ListBullet"/>
      </w:pPr>
      <w:r w:rsidRPr="00C27F1C">
        <w:t>techniques for leading and coordinating work activities with others.</w:t>
      </w:r>
    </w:p>
    <w:p w:rsidR="00000000" w:rsidRPr="00C27F1C" w:rsidP="00C27F1C">
      <w:pPr>
        <w:pStyle w:val="AllowPageBreak"/>
      </w:pPr>
    </w:p>
    <w:p w:rsidR="00000000" w:rsidRPr="00C27F1C" w:rsidP="00C27F1C">
      <w:pPr>
        <w:pStyle w:val="Heading1"/>
      </w:pPr>
      <w:bookmarkStart w:id="4" w:name="O_1108521"/>
      <w:bookmarkEnd w:id="4"/>
      <w:r w:rsidRPr="00C27F1C">
        <w:t>Assessment Conditions</w:t>
      </w:r>
    </w:p>
    <w:p w:rsidR="00000000" w:rsidRPr="00C27F1C" w:rsidP="00540B53">
      <w:pPr>
        <w:pStyle w:val="BodyText"/>
      </w:pPr>
      <w:r w:rsidRPr="00C27F1C">
        <w:t>Mandatory conditions for assessment of this unit are stipulated below. The assessment must:</w:t>
      </w:r>
    </w:p>
    <w:p w:rsidR="00000000" w:rsidRPr="00C27F1C" w:rsidP="00C27F1C">
      <w:pPr>
        <w:pStyle w:val="ListBullet"/>
      </w:pPr>
      <w:r w:rsidRPr="00C27F1C">
        <w:t>include access to:</w:t>
      </w:r>
    </w:p>
    <w:p w:rsidR="00000000" w:rsidRPr="00C27F1C" w:rsidP="00C27F1C">
      <w:pPr>
        <w:pStyle w:val="ListBullet2"/>
      </w:pPr>
      <w:r w:rsidRPr="00C27F1C">
        <w:t>gas management plan</w:t>
      </w:r>
    </w:p>
    <w:p w:rsidR="00000000" w:rsidRPr="00C27F1C" w:rsidP="00C27F1C">
      <w:pPr>
        <w:pStyle w:val="ListBullet"/>
      </w:pPr>
      <w:r w:rsidRPr="00C27F1C">
        <w:t xml:space="preserve">be conducted in a safe environment; and, </w:t>
      </w:r>
    </w:p>
    <w:p w:rsidR="00000000" w:rsidRPr="00C27F1C" w:rsidP="00C27F1C">
      <w:pPr>
        <w:pStyle w:val="ListBullet"/>
      </w:pPr>
      <w:r w:rsidRPr="00C27F1C">
        <w:t>be assessed in the context of this sector</w:t>
      </w:r>
      <w:r>
        <w:t>’</w:t>
      </w:r>
      <w:r w:rsidRPr="00C27F1C">
        <w:t xml:space="preserve">s work environment; and, </w:t>
      </w:r>
    </w:p>
    <w:p w:rsidR="00000000" w:rsidRPr="00C27F1C" w:rsidP="00C27F1C">
      <w:pPr>
        <w:pStyle w:val="ListBullet"/>
      </w:pPr>
      <w:r w:rsidRPr="00C27F1C">
        <w:t>be assessed in compliance with relevant legislation/regulation and using policies, procedures and processes directly related to the industry sector for which it is being assessed; and,</w:t>
      </w:r>
    </w:p>
    <w:p w:rsidR="00000000" w:rsidRPr="00C27F1C" w:rsidP="00C27F1C">
      <w:pPr>
        <w:pStyle w:val="ListBullet"/>
      </w:pPr>
      <w:r w:rsidRPr="00C27F1C">
        <w:t>con</w:t>
      </w:r>
      <w:r w:rsidRPr="00C27F1C">
        <w:t>firm consistent performance can be applied in a range of relevant workplace circumstances.</w:t>
      </w:r>
    </w:p>
    <w:p w:rsidR="00000000" w:rsidRPr="00C27F1C" w:rsidP="00540B53">
      <w:pPr>
        <w:pStyle w:val="BodyText"/>
      </w:pPr>
      <w:r w:rsidRPr="00C27F1C">
        <w:t>Where personal safety or environmental damage are limiting factors, assessment may occur in a simulated work environment* provided it is realistic and sufficiently r</w:t>
      </w:r>
      <w:r w:rsidRPr="00C27F1C">
        <w:t>igorous to cover all aspects of this sector’s workplace performance, including environment, task skills, task management skills, contingency management skills and job role environment skills.</w:t>
      </w:r>
    </w:p>
    <w:p w:rsidR="00000000" w:rsidRPr="00C27F1C" w:rsidP="00C27F1C">
      <w:pPr>
        <w:pStyle w:val="BodyTextBold"/>
      </w:pPr>
      <w:r w:rsidRPr="00C27F1C">
        <w:t>Assessor requirements</w:t>
      </w:r>
    </w:p>
    <w:p w:rsidR="00000000" w:rsidRPr="00C27F1C" w:rsidP="00540B53">
      <w:pPr>
        <w:pStyle w:val="BodyText"/>
      </w:pPr>
      <w:r w:rsidRPr="00C27F1C">
        <w:t>Assessors must be able to clearly demonstr</w:t>
      </w:r>
      <w:r w:rsidRPr="00C27F1C">
        <w:t>ate current and relevant industry knowledge and experience to satisfy the mandatory regulatory standards as set out in the Standards for Registered Training Organisations (RTOs) 2015/Australian Quality Training Framework mandatory requirements for assessor</w:t>
      </w:r>
      <w:r w:rsidRPr="00C27F1C">
        <w:t>s current at the time of assessment and any relevant licensing and certification requirements. This includes:</w:t>
      </w:r>
    </w:p>
    <w:p w:rsidR="00000000" w:rsidRPr="00C27F1C" w:rsidP="00C27F1C">
      <w:pPr>
        <w:pStyle w:val="ListBullet"/>
      </w:pPr>
      <w:r w:rsidRPr="00C27F1C">
        <w:t>vocational competencies at least to the level being delivered and assessed</w:t>
      </w:r>
    </w:p>
    <w:p w:rsidR="00000000" w:rsidRPr="00C27F1C" w:rsidP="00C27F1C">
      <w:pPr>
        <w:pStyle w:val="ListBullet"/>
      </w:pPr>
      <w:r w:rsidRPr="00C27F1C">
        <w:t>current industry skills directly relevant to the training and assessme</w:t>
      </w:r>
      <w:r w:rsidRPr="00C27F1C">
        <w:t>nt being provided</w:t>
      </w:r>
    </w:p>
    <w:p w:rsidR="00000000" w:rsidRPr="00C27F1C" w:rsidP="00C27F1C">
      <w:pPr>
        <w:pStyle w:val="ListBullet"/>
      </w:pPr>
      <w:r w:rsidRPr="00C27F1C">
        <w:t>current knowledge and skills in vocational training and learning that informs their training and assessment</w:t>
      </w:r>
    </w:p>
    <w:p w:rsidR="00000000" w:rsidRPr="00C27F1C" w:rsidP="00C27F1C">
      <w:pPr>
        <w:pStyle w:val="ListBullet"/>
      </w:pPr>
      <w:r w:rsidRPr="00C27F1C">
        <w:t>formal relevant qualifications in training and assessment</w:t>
      </w:r>
    </w:p>
    <w:p w:rsidR="00000000" w:rsidRPr="00C27F1C" w:rsidP="00C27F1C">
      <w:pPr>
        <w:pStyle w:val="ListBullet"/>
      </w:pPr>
      <w:r w:rsidRPr="00C27F1C">
        <w:t>having knowledge of and/or experience using the latest techniques and pr</w:t>
      </w:r>
      <w:r w:rsidRPr="00C27F1C">
        <w:t xml:space="preserve">ocesses </w:t>
      </w:r>
    </w:p>
    <w:p w:rsidR="00000000" w:rsidRPr="00C27F1C" w:rsidP="00C27F1C">
      <w:pPr>
        <w:pStyle w:val="ListBullet"/>
      </w:pPr>
      <w:r w:rsidRPr="00C27F1C">
        <w:t>possessing the required level of RII training product knowledge</w:t>
      </w:r>
    </w:p>
    <w:p w:rsidR="00000000" w:rsidRPr="00C27F1C" w:rsidP="00C27F1C">
      <w:pPr>
        <w:pStyle w:val="ListBullet"/>
      </w:pPr>
      <w:r w:rsidRPr="00C27F1C">
        <w:t>having an understanding and knowledge of legislation and regulations relevant to the industry and to employment and workplaces</w:t>
      </w:r>
    </w:p>
    <w:p w:rsidR="00000000" w:rsidRPr="00C27F1C" w:rsidP="00C27F1C">
      <w:pPr>
        <w:pStyle w:val="ListBullet"/>
      </w:pPr>
      <w:r w:rsidRPr="00C27F1C">
        <w:t>demonstrating the performance evidenc</w:t>
      </w:r>
      <w:r w:rsidRPr="00C27F1C">
        <w:t>e, and knowledge evidence outlined in this unit of competency, and</w:t>
      </w:r>
    </w:p>
    <w:p w:rsidR="00000000" w:rsidRPr="00C27F1C" w:rsidP="00C27F1C">
      <w:pPr>
        <w:pStyle w:val="ListBullet"/>
      </w:pPr>
      <w:r w:rsidRPr="00C27F1C">
        <w:t>the minimum years of current** work experience after competency has been obtained as specified below in an industry sector relevant to the outcomes of the unit.</w:t>
      </w:r>
    </w:p>
    <w:p w:rsidR="00000000" w:rsidRPr="00C27F1C" w:rsidP="00540B53">
      <w:pPr>
        <w:pStyle w:val="BodyText"/>
      </w:pPr>
      <w:r w:rsidRPr="00C27F1C">
        <w:t>It is also acceptable for th</w:t>
      </w:r>
      <w:r w:rsidRPr="00C27F1C">
        <w:t>e appropriately qualified assessor to work with an industry expert to conduct assessment together and for the industry expert to be involved in the assessment judgement. The industry expert must have current industry skills directly relevant to the trainin</w:t>
      </w:r>
      <w:r w:rsidRPr="00C27F1C">
        <w:t>g and assessment being provided. This means the industry subject matter expert must demonstrate skills and knowledge from the minimum years of current work experience after competency has been obtained as specified below, including time spent in roles rela</w:t>
      </w:r>
      <w:r w:rsidRPr="00C27F1C">
        <w:t>ted to the unit being assessed:</w:t>
      </w:r>
    </w:p>
    <w:tbl>
      <w:tblPr>
        <w:tblW w:w="9568" w:type="dxa"/>
        <w:tblLayout w:type="fixed"/>
        <w:tblCellMar>
          <w:left w:w="62" w:type="dxa"/>
          <w:right w:w="62" w:type="dxa"/>
        </w:tblCellMar>
        <w:tblLook w:val="0000"/>
      </w:tblPr>
      <w:tblGrid>
        <w:gridCol w:w="4505"/>
        <w:gridCol w:w="1687"/>
        <w:gridCol w:w="3376"/>
      </w:tblGrid>
      <w:tr w:rsidTr="00C27F1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7F1C" w:rsidP="00C27F1C">
            <w:pPr>
              <w:pStyle w:val="BodyText"/>
            </w:pPr>
            <w:r w:rsidRPr="00C27F1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7F1C" w:rsidP="00C27F1C">
            <w:pPr>
              <w:pStyle w:val="BodyText"/>
            </w:pPr>
            <w:r w:rsidRPr="00C27F1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rPr>
                <w:rStyle w:val="SpecialBold"/>
              </w:rPr>
              <w:t>Required assessor or industry subject matter expert experience</w:t>
            </w:r>
          </w:p>
        </w:tc>
      </w:tr>
      <w:tr w:rsidTr="00C27F1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1 year</w:t>
            </w:r>
          </w:p>
        </w:tc>
      </w:tr>
      <w:tr w:rsidTr="00C27F1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2 years</w:t>
            </w:r>
          </w:p>
        </w:tc>
      </w:tr>
      <w:tr w:rsidTr="00C27F1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3 years</w:t>
            </w:r>
          </w:p>
        </w:tc>
      </w:tr>
      <w:tr w:rsidTr="00C27F1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F1C">
            <w:pPr>
              <w:pStyle w:val="BodyText"/>
              <w:rPr>
                <w:lang w:val="en-NZ"/>
              </w:rPr>
            </w:pPr>
            <w:r w:rsidRPr="00C27F1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7F1C" w:rsidP="00C27F1C">
            <w:pPr>
              <w:pStyle w:val="BodyText"/>
            </w:pPr>
            <w:r w:rsidRPr="00C27F1C">
              <w:t>Where this unit is being assessed outside of the resources and infrastructure sectors assessor and/or industry subject matter expert ex</w:t>
            </w:r>
            <w:r w:rsidRPr="00C27F1C">
              <w:t>perience should be in-line with industry standards for the sector in which it is being assessed and where no industry standard is specified should comply with any relevant regulation.</w:t>
            </w:r>
          </w:p>
        </w:tc>
      </w:tr>
    </w:tbl>
    <w:p w:rsidR="00000000" w:rsidRPr="00C27F1C" w:rsidP="00540B53">
      <w:pPr>
        <w:pStyle w:val="BodyText"/>
      </w:pPr>
      <w:r w:rsidRPr="00C27F1C">
        <w:t>*Guidance on simulated environments has been stipulated in the Companion Volume Implementation Guide located on VETNet.</w:t>
      </w:r>
    </w:p>
    <w:p w:rsidR="00000000" w:rsidRPr="00C27F1C" w:rsidP="00540B53">
      <w:pPr>
        <w:pStyle w:val="BodyText"/>
      </w:pPr>
      <w:r w:rsidRPr="00C27F1C">
        <w:t>**Assessors can demonstrate current work experience through employment within industry in a role relevant to the outcomes of the unit; o</w:t>
      </w:r>
      <w:r w:rsidRPr="00C27F1C">
        <w:t xml:space="preserve">r, for external assessors this can be demonstrated through exposure to industry by conducting a minimum number of site assessments as determined by the relevant industry </w:t>
      </w:r>
      <w:r w:rsidRPr="00C27F1C">
        <w:t>sector, across various locations.</w:t>
      </w:r>
    </w:p>
    <w:p w:rsidR="00000000" w:rsidRPr="00C27F1C" w:rsidP="00540B53">
      <w:pPr>
        <w:pStyle w:val="BodyText"/>
      </w:pPr>
      <w:r w:rsidRPr="00C27F1C">
        <w:t xml:space="preserve">*** While a unit of competency does not have an AQF </w:t>
      </w:r>
      <w:r w:rsidRPr="00C27F1C">
        <w:t>level, where a unit is being delivered outside of a qualification the first numeric character in the unit code should be considered as the AQF indicator level for assessment purposes.</w:t>
      </w:r>
    </w:p>
    <w:p w:rsidR="00000000" w:rsidRPr="00C27F1C" w:rsidP="00C27F1C">
      <w:pPr>
        <w:pStyle w:val="Heading1"/>
      </w:pPr>
      <w:bookmarkStart w:id="5" w:name="O_1108519"/>
      <w:bookmarkEnd w:id="5"/>
      <w:r w:rsidRPr="00C27F1C">
        <w:t>Links</w:t>
      </w:r>
    </w:p>
    <w:p w:rsidR="00000000" w:rsidRPr="00C27F1C" w:rsidP="00540B53">
      <w:pPr>
        <w:pStyle w:val="BodyText"/>
      </w:pPr>
      <w:r w:rsidRPr="00C27F1C">
        <w:t xml:space="preserve">Companion Volume Implementation Guide is found </w:t>
      </w:r>
      <w:r w:rsidRPr="00C27F1C">
        <w:t xml:space="preserve">on VETNet - </w:t>
      </w:r>
      <w:r>
        <w:fldChar w:fldCharType="begin"/>
      </w:r>
      <w:r>
        <w:instrText xml:space="preserve"> HYPERLINK "https://vetnet.gov.au/Pages/TrainingDocs.aspx?q=88a61002-9a21-4386-aaf8-69c76e675272" </w:instrText>
      </w:r>
      <w:r>
        <w:fldChar w:fldCharType="separate"/>
      </w:r>
      <w:r w:rsidRPr="00DB3804">
        <w:rPr>
          <w:rStyle w:val="Hyperlink"/>
        </w:rPr>
        <w:t>https://vetnet.gov.au/Pages/TrainingDocs.aspx?q=88a61002-9a21-4386-aaf8-69c76e675272</w:t>
      </w:r>
      <w:r>
        <w:fldChar w:fldCharType="end"/>
      </w:r>
    </w:p>
    <w:p w:rsidR="00000000" w:rsidRPr="00C27F1C" w:rsidP="00C27F1C"/>
    <w:sectPr w:rsidSect="00C27F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1C" w:rsidRPr="00540B53" w:rsidP="00540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53" w:rsidP="00C27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0B53" w:rsidP="00C27F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0B53" w:rsidP="00C27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F1C" w:rsidRPr="00540B53" w:rsidP="00540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53" w:rsidRPr="002D2AF8" w:rsidP="00C27F1C">
    <w:pPr>
      <w:pStyle w:val="Header"/>
      <w:framePr w:wrap="around"/>
    </w:pPr>
    <w:r>
      <w:fldChar w:fldCharType="begin"/>
    </w:r>
    <w:r>
      <w:instrText xml:space="preserve"> TITLE   \* MERGEFORMAT </w:instrText>
    </w:r>
    <w:r>
      <w:fldChar w:fldCharType="separate"/>
    </w:r>
    <w:r>
      <w:t>Assessment Requirements for RIIMCU502E Implement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0B53" w:rsidP="00C27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22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EA0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64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F1C"/>
    <w:pPr>
      <w:spacing w:before="360" w:after="60"/>
      <w:outlineLvl w:val="0"/>
    </w:pPr>
    <w:rPr>
      <w:sz w:val="32"/>
    </w:rPr>
  </w:style>
  <w:style w:type="paragraph" w:styleId="Heading2">
    <w:name w:val="heading 2"/>
    <w:basedOn w:val="HeadingBase"/>
    <w:next w:val="BodyText"/>
    <w:link w:val="Heading2Char"/>
    <w:qFormat/>
    <w:rsid w:val="00C27F1C"/>
    <w:pPr>
      <w:keepLines/>
      <w:spacing w:before="240" w:after="120"/>
      <w:outlineLvl w:val="1"/>
    </w:pPr>
    <w:rPr>
      <w:sz w:val="28"/>
      <w:szCs w:val="40"/>
    </w:rPr>
  </w:style>
  <w:style w:type="paragraph" w:styleId="Heading3">
    <w:name w:val="heading 3"/>
    <w:basedOn w:val="HeadingBase"/>
    <w:next w:val="BodyText"/>
    <w:link w:val="Heading3Char"/>
    <w:qFormat/>
    <w:rsid w:val="00C27F1C"/>
    <w:pPr>
      <w:spacing w:before="180" w:after="120"/>
      <w:outlineLvl w:val="2"/>
    </w:pPr>
    <w:rPr>
      <w:spacing w:val="-10"/>
      <w:kern w:val="32"/>
    </w:rPr>
  </w:style>
  <w:style w:type="paragraph" w:styleId="Heading4">
    <w:name w:val="heading 4"/>
    <w:basedOn w:val="HeadingBase"/>
    <w:next w:val="BodyText"/>
    <w:link w:val="Heading4Char"/>
    <w:qFormat/>
    <w:rsid w:val="00C27F1C"/>
    <w:pPr>
      <w:spacing w:before="160" w:after="120"/>
      <w:outlineLvl w:val="3"/>
    </w:pPr>
    <w:rPr>
      <w:sz w:val="22"/>
    </w:rPr>
  </w:style>
  <w:style w:type="paragraph" w:styleId="Heading5">
    <w:name w:val="heading 5"/>
    <w:basedOn w:val="HeadingBase"/>
    <w:next w:val="Normal"/>
    <w:link w:val="Heading5Char"/>
    <w:qFormat/>
    <w:rsid w:val="00C27F1C"/>
    <w:pPr>
      <w:spacing w:before="80"/>
      <w:outlineLvl w:val="4"/>
    </w:pPr>
    <w:rPr>
      <w:color w:val="918585"/>
      <w:sz w:val="20"/>
    </w:rPr>
  </w:style>
  <w:style w:type="paragraph" w:styleId="Heading6">
    <w:name w:val="heading 6"/>
    <w:basedOn w:val="HeadingBase"/>
    <w:next w:val="Normal"/>
    <w:link w:val="Heading6Char"/>
    <w:qFormat/>
    <w:rsid w:val="00C27F1C"/>
    <w:pPr>
      <w:spacing w:before="60"/>
      <w:outlineLvl w:val="5"/>
    </w:pPr>
    <w:rPr>
      <w:color w:val="918585"/>
      <w:sz w:val="20"/>
    </w:rPr>
  </w:style>
  <w:style w:type="paragraph" w:styleId="Heading7">
    <w:name w:val="heading 7"/>
    <w:basedOn w:val="Normal"/>
    <w:next w:val="Normal"/>
    <w:link w:val="Heading7Char"/>
    <w:qFormat/>
    <w:rsid w:val="00C27F1C"/>
    <w:pPr>
      <w:ind w:left="720"/>
      <w:outlineLvl w:val="6"/>
    </w:pPr>
    <w:rPr>
      <w:i/>
    </w:rPr>
  </w:style>
  <w:style w:type="paragraph" w:styleId="Heading8">
    <w:name w:val="heading 8"/>
    <w:basedOn w:val="Normal"/>
    <w:next w:val="Normal"/>
    <w:link w:val="Heading8Char"/>
    <w:qFormat/>
    <w:rsid w:val="00C27F1C"/>
    <w:pPr>
      <w:ind w:left="720"/>
      <w:outlineLvl w:val="7"/>
    </w:pPr>
    <w:rPr>
      <w:i/>
    </w:rPr>
  </w:style>
  <w:style w:type="paragraph" w:styleId="Heading9">
    <w:name w:val="heading 9"/>
    <w:basedOn w:val="Normal"/>
    <w:next w:val="Normal"/>
    <w:link w:val="Heading9Char"/>
    <w:qFormat/>
    <w:rsid w:val="00C27F1C"/>
    <w:pPr>
      <w:ind w:left="720"/>
      <w:outlineLvl w:val="8"/>
    </w:pPr>
    <w:rPr>
      <w:i/>
    </w:rPr>
  </w:style>
  <w:style w:type="character" w:default="1" w:styleId="DefaultParagraphFont">
    <w:name w:val="Default Paragraph Font"/>
    <w:uiPriority w:val="1"/>
    <w:unhideWhenUsed/>
    <w:rsid w:val="00C27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F1C"/>
  </w:style>
  <w:style w:type="character" w:customStyle="1" w:styleId="Heading1Char">
    <w:name w:val="Heading 1 Char"/>
    <w:basedOn w:val="DefaultParagraphFont"/>
    <w:link w:val="Heading1"/>
    <w:rsid w:val="00C27F1C"/>
    <w:rPr>
      <w:rFonts w:ascii="Times New Roman" w:eastAsia="Times New Roman" w:hAnsi="Times New Roman" w:cs="Times New Roman"/>
      <w:b/>
      <w:sz w:val="32"/>
      <w:szCs w:val="20"/>
      <w:lang w:eastAsia="en-US"/>
    </w:rPr>
  </w:style>
  <w:style w:type="paragraph" w:styleId="BodyText">
    <w:name w:val="Body Text"/>
    <w:basedOn w:val="Normal"/>
    <w:link w:val="BodyTextChar"/>
    <w:rsid w:val="00C27F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F1C"/>
    <w:rPr>
      <w:rFonts w:ascii="Times New Roman" w:eastAsia="Times New Roman" w:hAnsi="Times New Roman" w:cs="Times New Roman"/>
      <w:sz w:val="24"/>
      <w:lang w:eastAsia="en-US"/>
    </w:rPr>
  </w:style>
  <w:style w:type="paragraph" w:styleId="List">
    <w:name w:val="List"/>
    <w:basedOn w:val="BodyText"/>
    <w:next w:val="BodyText"/>
    <w:rsid w:val="00C27F1C"/>
    <w:pPr>
      <w:tabs>
        <w:tab w:val="left" w:pos="340"/>
      </w:tabs>
      <w:spacing w:before="60" w:after="60"/>
      <w:ind w:left="340" w:hanging="340"/>
    </w:pPr>
  </w:style>
  <w:style w:type="paragraph" w:styleId="ListBullet">
    <w:name w:val="List Bullet"/>
    <w:basedOn w:val="List"/>
    <w:rsid w:val="00C27F1C"/>
    <w:pPr>
      <w:numPr>
        <w:numId w:val="13"/>
      </w:numPr>
      <w:tabs>
        <w:tab w:val="clear" w:pos="340"/>
      </w:tabs>
      <w:spacing w:before="40" w:after="40"/>
    </w:pPr>
  </w:style>
  <w:style w:type="character" w:customStyle="1" w:styleId="SpecialBold">
    <w:name w:val="Special Bold"/>
    <w:basedOn w:val="DefaultParagraphFont"/>
    <w:rsid w:val="00C27F1C"/>
    <w:rPr>
      <w:b/>
      <w:spacing w:val="0"/>
    </w:rPr>
  </w:style>
  <w:style w:type="paragraph" w:styleId="ListBullet2">
    <w:name w:val="List Bullet 2"/>
    <w:basedOn w:val="List2"/>
    <w:rsid w:val="00C27F1C"/>
    <w:pPr>
      <w:numPr>
        <w:numId w:val="14"/>
      </w:numPr>
      <w:tabs>
        <w:tab w:val="clear" w:pos="680"/>
      </w:tabs>
    </w:pPr>
  </w:style>
  <w:style w:type="paragraph" w:customStyle="1" w:styleId="SuperHeading">
    <w:name w:val="SuperHeading"/>
    <w:basedOn w:val="Normal"/>
    <w:rsid w:val="00C27F1C"/>
    <w:pPr>
      <w:spacing w:before="240" w:after="120"/>
      <w:outlineLvl w:val="0"/>
    </w:pPr>
    <w:rPr>
      <w:rFonts w:ascii="Times New Roman" w:hAnsi="Times New Roman"/>
      <w:b/>
      <w:sz w:val="32"/>
    </w:rPr>
  </w:style>
  <w:style w:type="paragraph" w:customStyle="1" w:styleId="AllowPageBreak">
    <w:name w:val="AllowPageBreak"/>
    <w:rsid w:val="00C27F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7F1C"/>
    <w:pPr>
      <w:numPr>
        <w:numId w:val="3"/>
      </w:numPr>
      <w:tabs>
        <w:tab w:val="clear" w:pos="1021"/>
      </w:tabs>
      <w:ind w:left="1037" w:hanging="357"/>
    </w:pPr>
  </w:style>
  <w:style w:type="character" w:customStyle="1" w:styleId="Superscript">
    <w:name w:val="Superscript"/>
    <w:basedOn w:val="DefaultParagraphFont"/>
    <w:rsid w:val="00C27F1C"/>
    <w:rPr>
      <w:sz w:val="16"/>
      <w:vertAlign w:val="superscript"/>
    </w:rPr>
  </w:style>
  <w:style w:type="paragraph" w:customStyle="1" w:styleId="BodyTextBold">
    <w:name w:val="Body Text Bold"/>
    <w:basedOn w:val="BodyText"/>
    <w:qFormat/>
    <w:rsid w:val="00C27F1C"/>
    <w:rPr>
      <w:b/>
    </w:rPr>
  </w:style>
  <w:style w:type="character" w:customStyle="1" w:styleId="Heading2Char">
    <w:name w:val="Heading 2 Char"/>
    <w:basedOn w:val="DefaultParagraphFont"/>
    <w:link w:val="Heading2"/>
    <w:rsid w:val="00C27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F1C"/>
    <w:rPr>
      <w:rFonts w:ascii="Courier New" w:eastAsia="Times New Roman" w:hAnsi="Courier New" w:cs="Times New Roman"/>
      <w:i/>
      <w:szCs w:val="20"/>
      <w:lang w:eastAsia="en-US"/>
    </w:rPr>
  </w:style>
  <w:style w:type="paragraph" w:customStyle="1" w:styleId="HeadingBase">
    <w:name w:val="Heading Base"/>
    <w:rsid w:val="00C27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F1C"/>
    <w:pPr>
      <w:tabs>
        <w:tab w:val="right" w:leader="dot" w:pos="9072"/>
      </w:tabs>
      <w:ind w:left="567"/>
    </w:pPr>
    <w:rPr>
      <w:szCs w:val="22"/>
    </w:rPr>
  </w:style>
  <w:style w:type="paragraph" w:customStyle="1" w:styleId="TOCBase">
    <w:name w:val="TOC Base"/>
    <w:rsid w:val="00C27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F1C"/>
    <w:pPr>
      <w:tabs>
        <w:tab w:val="right" w:leader="dot" w:pos="9072"/>
      </w:tabs>
      <w:spacing w:before="40" w:after="40"/>
      <w:ind w:left="284"/>
    </w:pPr>
    <w:rPr>
      <w:rFonts w:ascii="Times New Roman" w:hAnsi="Times New Roman"/>
    </w:rPr>
  </w:style>
  <w:style w:type="paragraph" w:styleId="TOC1">
    <w:name w:val="toc 1"/>
    <w:basedOn w:val="TOCBase"/>
    <w:next w:val="Normal"/>
    <w:rsid w:val="00C27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F1C"/>
    <w:rPr>
      <w:rFonts w:ascii="Times New Roman" w:eastAsia="Times New Roman" w:hAnsi="Times New Roman" w:cs="Times New Roman"/>
      <w:sz w:val="16"/>
      <w:lang w:eastAsia="en-US"/>
    </w:rPr>
  </w:style>
  <w:style w:type="paragraph" w:styleId="Title">
    <w:name w:val="Title"/>
    <w:basedOn w:val="HeadingBase"/>
    <w:link w:val="TitleChar"/>
    <w:qFormat/>
    <w:rsid w:val="00C27F1C"/>
    <w:pPr>
      <w:spacing w:before="5040"/>
      <w:jc w:val="center"/>
    </w:pPr>
    <w:rPr>
      <w:sz w:val="48"/>
      <w:szCs w:val="72"/>
      <w:lang w:val="en-US"/>
    </w:rPr>
  </w:style>
  <w:style w:type="character" w:customStyle="1" w:styleId="TitleChar">
    <w:name w:val="Title Char"/>
    <w:basedOn w:val="DefaultParagraphFont"/>
    <w:link w:val="Title"/>
    <w:rsid w:val="00C27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F1C"/>
    <w:pPr>
      <w:tabs>
        <w:tab w:val="left" w:pos="3600"/>
        <w:tab w:val="left" w:pos="3958"/>
      </w:tabs>
    </w:pPr>
  </w:style>
  <w:style w:type="paragraph" w:customStyle="1" w:styleId="Note">
    <w:name w:val="Note"/>
    <w:basedOn w:val="BodyText"/>
    <w:rsid w:val="00C27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F1C"/>
    <w:pPr>
      <w:framePr w:wrap="auto" w:hAnchor="text" w:y="6049"/>
    </w:pPr>
    <w:rPr>
      <w:color w:val="000000"/>
      <w:sz w:val="40"/>
    </w:rPr>
  </w:style>
  <w:style w:type="paragraph" w:customStyle="1" w:styleId="TOCTitle">
    <w:name w:val="TOCTitle"/>
    <w:basedOn w:val="Heading1"/>
    <w:rsid w:val="00C27F1C"/>
    <w:pPr>
      <w:spacing w:after="240"/>
      <w:jc w:val="center"/>
      <w:outlineLvl w:val="9"/>
    </w:pPr>
    <w:rPr>
      <w:caps/>
    </w:rPr>
  </w:style>
  <w:style w:type="paragraph" w:customStyle="1" w:styleId="Version">
    <w:name w:val="Version"/>
    <w:rsid w:val="00C27F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F1C"/>
    <w:pPr>
      <w:keepNext w:val="0"/>
      <w:tabs>
        <w:tab w:val="right" w:pos="4176"/>
      </w:tabs>
      <w:ind w:left="198" w:hanging="198"/>
    </w:pPr>
    <w:rPr>
      <w:rFonts w:ascii="Garamond" w:hAnsi="Garamond"/>
    </w:rPr>
  </w:style>
  <w:style w:type="paragraph" w:styleId="IndexHeading">
    <w:name w:val="index heading"/>
    <w:basedOn w:val="Normal"/>
    <w:next w:val="Index1"/>
    <w:semiHidden/>
    <w:rsid w:val="00C27F1C"/>
    <w:pPr>
      <w:spacing w:before="120" w:after="120"/>
    </w:pPr>
    <w:rPr>
      <w:rFonts w:ascii="Arial" w:hAnsi="Arial"/>
      <w:b/>
      <w:color w:val="918585"/>
      <w:sz w:val="24"/>
    </w:rPr>
  </w:style>
  <w:style w:type="paragraph" w:styleId="Header">
    <w:name w:val="header"/>
    <w:basedOn w:val="Normal"/>
    <w:link w:val="HeaderChar"/>
    <w:rsid w:val="00C27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F1C"/>
    <w:rPr>
      <w:rFonts w:ascii="Times New Roman" w:eastAsia="Times New Roman" w:hAnsi="Times New Roman" w:cs="Times New Roman"/>
      <w:sz w:val="16"/>
      <w:szCs w:val="20"/>
      <w:lang w:val="en-GB" w:eastAsia="en-US"/>
    </w:rPr>
  </w:style>
  <w:style w:type="paragraph" w:customStyle="1" w:styleId="Chapter">
    <w:name w:val="Chapter"/>
    <w:basedOn w:val="Normal"/>
    <w:rsid w:val="00C27F1C"/>
    <w:pPr>
      <w:spacing w:before="240"/>
    </w:pPr>
    <w:rPr>
      <w:rFonts w:ascii="Times New Roman" w:hAnsi="Times New Roman"/>
      <w:smallCaps/>
      <w:spacing w:val="80"/>
      <w:sz w:val="28"/>
    </w:rPr>
  </w:style>
  <w:style w:type="paragraph" w:customStyle="1" w:styleId="InChapter">
    <w:name w:val="InChapter"/>
    <w:basedOn w:val="Heading3"/>
    <w:rsid w:val="00C27F1C"/>
    <w:pPr>
      <w:spacing w:after="240"/>
      <w:outlineLvl w:val="9"/>
    </w:pPr>
    <w:rPr>
      <w:noProof/>
    </w:rPr>
  </w:style>
  <w:style w:type="paragraph" w:styleId="Index2">
    <w:name w:val="index 2"/>
    <w:basedOn w:val="Normal"/>
    <w:next w:val="Normal"/>
    <w:semiHidden/>
    <w:rsid w:val="00C27F1C"/>
    <w:pPr>
      <w:tabs>
        <w:tab w:val="right" w:pos="4176"/>
      </w:tabs>
      <w:ind w:left="568" w:hanging="284"/>
    </w:pPr>
    <w:rPr>
      <w:rFonts w:ascii="Garamond" w:hAnsi="Garamond"/>
    </w:rPr>
  </w:style>
  <w:style w:type="paragraph" w:customStyle="1" w:styleId="Byline">
    <w:name w:val="Byline"/>
    <w:rsid w:val="00C27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F1C"/>
    <w:pPr>
      <w:tabs>
        <w:tab w:val="clear" w:pos="3600"/>
        <w:tab w:val="clear" w:pos="3958"/>
      </w:tabs>
      <w:jc w:val="right"/>
    </w:pPr>
  </w:style>
  <w:style w:type="character" w:styleId="Emphasis">
    <w:name w:val="Emphasis"/>
    <w:basedOn w:val="DefaultParagraphFont"/>
    <w:qFormat/>
    <w:rsid w:val="00C27F1C"/>
    <w:rPr>
      <w:i/>
    </w:rPr>
  </w:style>
  <w:style w:type="paragraph" w:styleId="Caption">
    <w:name w:val="caption"/>
    <w:basedOn w:val="BodyText"/>
    <w:next w:val="Normal"/>
    <w:qFormat/>
    <w:rsid w:val="00C27F1C"/>
    <w:pPr>
      <w:framePr w:w="2268" w:hSpace="181" w:vSpace="181" w:wrap="around" w:vAnchor="text" w:hAnchor="page" w:x="1135" w:y="285" w:anchorLock="1"/>
    </w:pPr>
    <w:rPr>
      <w:i/>
    </w:rPr>
  </w:style>
  <w:style w:type="paragraph" w:customStyle="1" w:styleId="MiniTOCTitle">
    <w:name w:val="MiniTOCTitle"/>
    <w:basedOn w:val="Heading4"/>
    <w:rsid w:val="00C27F1C"/>
    <w:pPr>
      <w:spacing w:before="240"/>
      <w:outlineLvl w:val="9"/>
    </w:pPr>
    <w:rPr>
      <w:noProof/>
      <w:sz w:val="24"/>
    </w:rPr>
  </w:style>
  <w:style w:type="paragraph" w:customStyle="1" w:styleId="MiniTOCItem">
    <w:name w:val="MiniTOCItem"/>
    <w:basedOn w:val="ListBullet"/>
    <w:rsid w:val="00C27F1C"/>
    <w:pPr>
      <w:numPr>
        <w:numId w:val="0"/>
      </w:numPr>
      <w:tabs>
        <w:tab w:val="right" w:leader="dot" w:pos="6521"/>
      </w:tabs>
      <w:spacing w:before="0" w:after="0"/>
    </w:pPr>
  </w:style>
  <w:style w:type="paragraph" w:customStyle="1" w:styleId="TOFTitle">
    <w:name w:val="TOFTitle"/>
    <w:basedOn w:val="TOCTitle"/>
    <w:rsid w:val="00C27F1C"/>
  </w:style>
  <w:style w:type="paragraph" w:styleId="TableofFigures">
    <w:name w:val="table of figures"/>
    <w:basedOn w:val="Normal"/>
    <w:next w:val="Normal"/>
    <w:semiHidden/>
    <w:rsid w:val="00C27F1C"/>
    <w:pPr>
      <w:tabs>
        <w:tab w:val="right" w:leader="dot" w:pos="9072"/>
      </w:tabs>
      <w:ind w:left="970" w:hanging="403"/>
    </w:pPr>
    <w:rPr>
      <w:rFonts w:ascii="Times New Roman" w:hAnsi="Times New Roman"/>
      <w:b/>
    </w:rPr>
  </w:style>
  <w:style w:type="paragraph" w:styleId="ListNumber">
    <w:name w:val="List Number"/>
    <w:basedOn w:val="List"/>
    <w:rsid w:val="00C27F1C"/>
    <w:pPr>
      <w:numPr>
        <w:numId w:val="16"/>
      </w:numPr>
      <w:tabs>
        <w:tab w:val="clear" w:pos="340"/>
      </w:tabs>
    </w:pPr>
  </w:style>
  <w:style w:type="character" w:customStyle="1" w:styleId="WingdingSymbols">
    <w:name w:val="Wingding Symbols"/>
    <w:rsid w:val="00C27F1C"/>
    <w:rPr>
      <w:rFonts w:ascii="Wingdings" w:hAnsi="Wingdings"/>
    </w:rPr>
  </w:style>
  <w:style w:type="paragraph" w:customStyle="1" w:styleId="TableHeading">
    <w:name w:val="Table Heading"/>
    <w:basedOn w:val="HeadingBase"/>
    <w:rsid w:val="00C27F1C"/>
    <w:pPr>
      <w:keepLines/>
      <w:pBdr>
        <w:bottom w:val="single" w:sz="6" w:space="1" w:color="918585"/>
      </w:pBdr>
      <w:spacing w:before="240"/>
    </w:pPr>
  </w:style>
  <w:style w:type="character" w:customStyle="1" w:styleId="HotSpot">
    <w:name w:val="HotSpot"/>
    <w:rsid w:val="00C27F1C"/>
    <w:rPr>
      <w:color w:val="0033CC"/>
      <w:u w:val="none"/>
    </w:rPr>
  </w:style>
  <w:style w:type="paragraph" w:customStyle="1" w:styleId="BodyTextRight">
    <w:name w:val="Body Text Right"/>
    <w:basedOn w:val="BodyText"/>
    <w:rsid w:val="00C27F1C"/>
    <w:pPr>
      <w:spacing w:before="0" w:after="0"/>
      <w:jc w:val="right"/>
    </w:pPr>
  </w:style>
  <w:style w:type="paragraph" w:styleId="Index3">
    <w:name w:val="index 3"/>
    <w:basedOn w:val="ListNumber2"/>
    <w:next w:val="Normal"/>
    <w:semiHidden/>
    <w:rsid w:val="00C27F1C"/>
    <w:pPr>
      <w:numPr>
        <w:numId w:val="0"/>
      </w:numPr>
      <w:tabs>
        <w:tab w:val="right" w:leader="dot" w:pos="4176"/>
      </w:tabs>
    </w:pPr>
  </w:style>
  <w:style w:type="paragraph" w:styleId="ListNumber2">
    <w:name w:val="List Number 2"/>
    <w:basedOn w:val="List2"/>
    <w:rsid w:val="00C27F1C"/>
    <w:pPr>
      <w:numPr>
        <w:numId w:val="11"/>
      </w:numPr>
      <w:tabs>
        <w:tab w:val="clear" w:pos="1060"/>
      </w:tabs>
    </w:pPr>
  </w:style>
  <w:style w:type="paragraph" w:customStyle="1" w:styleId="MarginNote">
    <w:name w:val="Margin Note"/>
    <w:basedOn w:val="BodyText"/>
    <w:rsid w:val="00C27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F1C"/>
    <w:rPr>
      <w:sz w:val="32"/>
    </w:rPr>
  </w:style>
  <w:style w:type="paragraph" w:customStyle="1" w:styleId="HeadingProcedure">
    <w:name w:val="Heading Procedure"/>
    <w:basedOn w:val="HeadingBase"/>
    <w:next w:val="Normal"/>
    <w:rsid w:val="00C27F1C"/>
    <w:pPr>
      <w:tabs>
        <w:tab w:val="left" w:pos="0"/>
      </w:tabs>
      <w:spacing w:before="120" w:after="60"/>
    </w:pPr>
    <w:rPr>
      <w:i/>
      <w:color w:val="918585"/>
      <w:sz w:val="22"/>
    </w:rPr>
  </w:style>
  <w:style w:type="paragraph" w:customStyle="1" w:styleId="TableBodyText">
    <w:name w:val="Table Body Text"/>
    <w:basedOn w:val="BodyText"/>
    <w:rsid w:val="00C27F1C"/>
    <w:pPr>
      <w:spacing w:before="60" w:after="60"/>
    </w:pPr>
  </w:style>
  <w:style w:type="paragraph" w:styleId="ListContinue">
    <w:name w:val="List Continue"/>
    <w:basedOn w:val="List"/>
    <w:rsid w:val="00C27F1C"/>
    <w:pPr>
      <w:ind w:firstLine="0"/>
    </w:pPr>
  </w:style>
  <w:style w:type="paragraph" w:customStyle="1" w:styleId="ListNote">
    <w:name w:val="List Note"/>
    <w:basedOn w:val="List"/>
    <w:rsid w:val="00C27F1C"/>
    <w:pPr>
      <w:pBdr>
        <w:top w:val="single" w:sz="6" w:space="2" w:color="918585"/>
        <w:bottom w:val="single" w:sz="6" w:space="2" w:color="918585"/>
      </w:pBdr>
      <w:tabs>
        <w:tab w:val="left" w:pos="1021"/>
      </w:tabs>
      <w:ind w:firstLine="0"/>
    </w:pPr>
  </w:style>
  <w:style w:type="paragraph" w:customStyle="1" w:styleId="Warning">
    <w:name w:val="Warning"/>
    <w:basedOn w:val="BodyText"/>
    <w:rsid w:val="00C27F1C"/>
    <w:pPr>
      <w:shd w:val="clear" w:color="auto" w:fill="D9D9D9"/>
      <w:tabs>
        <w:tab w:val="left" w:pos="992"/>
      </w:tabs>
      <w:ind w:left="119" w:right="119"/>
    </w:pPr>
    <w:rPr>
      <w:sz w:val="20"/>
    </w:rPr>
  </w:style>
  <w:style w:type="paragraph" w:customStyle="1" w:styleId="MarginIcons">
    <w:name w:val="Margin Icons"/>
    <w:basedOn w:val="BodyText"/>
    <w:rsid w:val="00C27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F1C"/>
    <w:rPr>
      <w:rFonts w:ascii="Courier New" w:hAnsi="Courier New"/>
    </w:rPr>
  </w:style>
  <w:style w:type="paragraph" w:customStyle="1" w:styleId="NoteBullet">
    <w:name w:val="Note Bullet"/>
    <w:basedOn w:val="Note"/>
    <w:rsid w:val="00C27F1C"/>
    <w:pPr>
      <w:tabs>
        <w:tab w:val="clear" w:pos="680"/>
      </w:tabs>
      <w:spacing w:before="60" w:after="60"/>
    </w:pPr>
  </w:style>
  <w:style w:type="paragraph" w:customStyle="1" w:styleId="SubHeading2">
    <w:name w:val="SubHeading2"/>
    <w:basedOn w:val="HeadingBase"/>
    <w:rsid w:val="00C27F1C"/>
    <w:pPr>
      <w:spacing w:before="240" w:after="60"/>
    </w:pPr>
    <w:rPr>
      <w:sz w:val="20"/>
    </w:rPr>
  </w:style>
  <w:style w:type="paragraph" w:customStyle="1" w:styleId="SubHeading1">
    <w:name w:val="SubHeading1"/>
    <w:basedOn w:val="HeadingBase"/>
    <w:rsid w:val="00C27F1C"/>
    <w:pPr>
      <w:spacing w:before="240" w:after="60"/>
    </w:pPr>
    <w:rPr>
      <w:color w:val="918585"/>
      <w:sz w:val="22"/>
    </w:rPr>
  </w:style>
  <w:style w:type="paragraph" w:customStyle="1" w:styleId="SideHeading">
    <w:name w:val="Side Heading"/>
    <w:basedOn w:val="HeadingBase"/>
    <w:rsid w:val="00C27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F1C"/>
    <w:pPr>
      <w:numPr>
        <w:numId w:val="12"/>
      </w:numPr>
    </w:pPr>
  </w:style>
  <w:style w:type="paragraph" w:styleId="PlainText">
    <w:name w:val="Plain Text"/>
    <w:basedOn w:val="Normal"/>
    <w:link w:val="PlainTextChar"/>
    <w:rsid w:val="00C27F1C"/>
    <w:rPr>
      <w:sz w:val="20"/>
    </w:rPr>
  </w:style>
  <w:style w:type="character" w:customStyle="1" w:styleId="PlainTextChar">
    <w:name w:val="Plain Text Char"/>
    <w:basedOn w:val="DefaultParagraphFont"/>
    <w:link w:val="PlainText"/>
    <w:rsid w:val="00C27F1C"/>
    <w:rPr>
      <w:rFonts w:ascii="Courier New" w:eastAsia="Times New Roman" w:hAnsi="Courier New" w:cs="Times New Roman"/>
      <w:sz w:val="20"/>
      <w:szCs w:val="20"/>
      <w:lang w:eastAsia="en-US"/>
    </w:rPr>
  </w:style>
  <w:style w:type="character" w:customStyle="1" w:styleId="MenuOption">
    <w:name w:val="Menu Option"/>
    <w:basedOn w:val="DefaultParagraphFont"/>
    <w:rsid w:val="00C27F1C"/>
    <w:rPr>
      <w:b/>
      <w:smallCaps/>
    </w:rPr>
  </w:style>
  <w:style w:type="paragraph" w:customStyle="1" w:styleId="TableListNumber">
    <w:name w:val="Table List Number"/>
    <w:basedOn w:val="ListNumber"/>
    <w:rsid w:val="00C27F1C"/>
    <w:pPr>
      <w:numPr>
        <w:numId w:val="0"/>
      </w:numPr>
    </w:pPr>
  </w:style>
  <w:style w:type="paragraph" w:styleId="TOC4">
    <w:name w:val="toc 4"/>
    <w:basedOn w:val="TOCBase"/>
    <w:next w:val="Normal"/>
    <w:semiHidden/>
    <w:rsid w:val="00C27F1C"/>
    <w:pPr>
      <w:tabs>
        <w:tab w:val="right" w:leader="dot" w:pos="9071"/>
      </w:tabs>
      <w:ind w:left="1701"/>
    </w:pPr>
  </w:style>
  <w:style w:type="paragraph" w:customStyle="1" w:styleId="ListAlpha">
    <w:name w:val="List Alpha"/>
    <w:basedOn w:val="List"/>
    <w:rsid w:val="00C27F1C"/>
    <w:pPr>
      <w:numPr>
        <w:numId w:val="10"/>
      </w:numPr>
    </w:pPr>
  </w:style>
  <w:style w:type="paragraph" w:customStyle="1" w:styleId="ListAlpha2">
    <w:name w:val="List Alpha 2"/>
    <w:basedOn w:val="List2"/>
    <w:rsid w:val="00C27F1C"/>
    <w:pPr>
      <w:numPr>
        <w:numId w:val="9"/>
      </w:numPr>
    </w:pPr>
  </w:style>
  <w:style w:type="paragraph" w:styleId="List2">
    <w:name w:val="List 2"/>
    <w:basedOn w:val="BodyText"/>
    <w:rsid w:val="00C27F1C"/>
    <w:pPr>
      <w:tabs>
        <w:tab w:val="left" w:pos="680"/>
      </w:tabs>
      <w:spacing w:before="60" w:after="60"/>
      <w:ind w:left="680" w:hanging="340"/>
    </w:pPr>
  </w:style>
  <w:style w:type="paragraph" w:styleId="List3">
    <w:name w:val="List 3"/>
    <w:basedOn w:val="BodyText"/>
    <w:rsid w:val="00C27F1C"/>
    <w:pPr>
      <w:tabs>
        <w:tab w:val="left" w:pos="1021"/>
      </w:tabs>
      <w:spacing w:before="60" w:after="60"/>
      <w:ind w:left="1020" w:hanging="340"/>
    </w:pPr>
  </w:style>
  <w:style w:type="paragraph" w:styleId="List4">
    <w:name w:val="List 4"/>
    <w:basedOn w:val="BodyText"/>
    <w:rsid w:val="00C27F1C"/>
    <w:pPr>
      <w:tabs>
        <w:tab w:val="left" w:pos="1361"/>
      </w:tabs>
      <w:spacing w:before="60" w:after="60"/>
      <w:ind w:left="1361" w:hanging="340"/>
    </w:pPr>
  </w:style>
  <w:style w:type="paragraph" w:styleId="List5">
    <w:name w:val="List 5"/>
    <w:basedOn w:val="BodyText"/>
    <w:rsid w:val="00C27F1C"/>
    <w:pPr>
      <w:tabs>
        <w:tab w:val="left" w:pos="1701"/>
      </w:tabs>
      <w:spacing w:before="60" w:after="60"/>
      <w:ind w:left="1701" w:hanging="340"/>
    </w:pPr>
  </w:style>
  <w:style w:type="paragraph" w:styleId="ListBullet4">
    <w:name w:val="List Bullet 4"/>
    <w:basedOn w:val="List4"/>
    <w:rsid w:val="00C27F1C"/>
    <w:pPr>
      <w:numPr>
        <w:numId w:val="4"/>
      </w:numPr>
      <w:tabs>
        <w:tab w:val="clear" w:pos="1361"/>
      </w:tabs>
    </w:pPr>
  </w:style>
  <w:style w:type="paragraph" w:styleId="ListBullet5">
    <w:name w:val="List Bullet 5"/>
    <w:basedOn w:val="List5"/>
    <w:rsid w:val="00C27F1C"/>
    <w:pPr>
      <w:numPr>
        <w:numId w:val="5"/>
      </w:numPr>
    </w:pPr>
  </w:style>
  <w:style w:type="paragraph" w:styleId="ListContinue2">
    <w:name w:val="List Continue 2"/>
    <w:basedOn w:val="List2"/>
    <w:rsid w:val="00C27F1C"/>
    <w:pPr>
      <w:ind w:firstLine="0"/>
    </w:pPr>
  </w:style>
  <w:style w:type="paragraph" w:styleId="ListContinue3">
    <w:name w:val="List Continue 3"/>
    <w:basedOn w:val="List3"/>
    <w:rsid w:val="00C27F1C"/>
    <w:pPr>
      <w:ind w:left="1021" w:firstLine="0"/>
    </w:pPr>
  </w:style>
  <w:style w:type="paragraph" w:styleId="ListContinue4">
    <w:name w:val="List Continue 4"/>
    <w:basedOn w:val="List4"/>
    <w:rsid w:val="00C27F1C"/>
    <w:pPr>
      <w:ind w:firstLine="0"/>
    </w:pPr>
  </w:style>
  <w:style w:type="paragraph" w:styleId="ListContinue5">
    <w:name w:val="List Continue 5"/>
    <w:basedOn w:val="List5"/>
    <w:rsid w:val="00C27F1C"/>
    <w:pPr>
      <w:ind w:firstLine="0"/>
    </w:pPr>
  </w:style>
  <w:style w:type="paragraph" w:styleId="ListNumber3">
    <w:name w:val="List Number 3"/>
    <w:basedOn w:val="List3"/>
    <w:rsid w:val="00C27F1C"/>
    <w:pPr>
      <w:numPr>
        <w:numId w:val="6"/>
      </w:numPr>
    </w:pPr>
  </w:style>
  <w:style w:type="paragraph" w:styleId="ListNumber4">
    <w:name w:val="List Number 4"/>
    <w:basedOn w:val="List4"/>
    <w:rsid w:val="00C27F1C"/>
    <w:pPr>
      <w:numPr>
        <w:numId w:val="7"/>
      </w:numPr>
    </w:pPr>
  </w:style>
  <w:style w:type="paragraph" w:styleId="ListNumber5">
    <w:name w:val="List Number 5"/>
    <w:basedOn w:val="List5"/>
    <w:rsid w:val="00C27F1C"/>
    <w:pPr>
      <w:numPr>
        <w:numId w:val="8"/>
      </w:numPr>
    </w:pPr>
  </w:style>
  <w:style w:type="paragraph" w:styleId="BlockText">
    <w:name w:val="Block Text"/>
    <w:basedOn w:val="Normal"/>
    <w:rsid w:val="00C27F1C"/>
    <w:pPr>
      <w:spacing w:after="120"/>
      <w:ind w:left="1440" w:right="1440"/>
    </w:pPr>
  </w:style>
  <w:style w:type="character" w:customStyle="1" w:styleId="Subscript">
    <w:name w:val="Subscript"/>
    <w:basedOn w:val="DefaultParagraphFont"/>
    <w:rsid w:val="00C27F1C"/>
    <w:rPr>
      <w:sz w:val="16"/>
      <w:vertAlign w:val="subscript"/>
    </w:rPr>
  </w:style>
  <w:style w:type="character" w:customStyle="1" w:styleId="Symbols">
    <w:name w:val="Symbols"/>
    <w:basedOn w:val="DefaultParagraphFont"/>
    <w:rsid w:val="00C27F1C"/>
    <w:rPr>
      <w:rFonts w:ascii="Symbol" w:hAnsi="Symbol"/>
    </w:rPr>
  </w:style>
  <w:style w:type="character" w:customStyle="1" w:styleId="MenuOptions">
    <w:name w:val="Menu Options"/>
    <w:basedOn w:val="DefaultParagraphFont"/>
    <w:rsid w:val="00C27F1C"/>
    <w:rPr>
      <w:rFonts w:ascii="Arial Narrow" w:hAnsi="Arial Narrow"/>
      <w:smallCaps/>
    </w:rPr>
  </w:style>
  <w:style w:type="character" w:customStyle="1" w:styleId="Buttons">
    <w:name w:val="Buttons"/>
    <w:basedOn w:val="DefaultParagraphFont"/>
    <w:rsid w:val="00C27F1C"/>
    <w:rPr>
      <w:b/>
    </w:rPr>
  </w:style>
  <w:style w:type="character" w:customStyle="1" w:styleId="Underlined">
    <w:name w:val="Underlined"/>
    <w:basedOn w:val="DefaultParagraphFont"/>
    <w:rsid w:val="00C27F1C"/>
    <w:rPr>
      <w:u w:val="single"/>
    </w:rPr>
  </w:style>
  <w:style w:type="paragraph" w:customStyle="1" w:styleId="TableBodyTextRight">
    <w:name w:val="Table Body Text Right"/>
    <w:basedOn w:val="TableBodyText"/>
    <w:rsid w:val="00C27F1C"/>
    <w:pPr>
      <w:widowControl w:val="0"/>
      <w:autoSpaceDE w:val="0"/>
      <w:autoSpaceDN w:val="0"/>
      <w:adjustRightInd w:val="0"/>
      <w:jc w:val="right"/>
    </w:pPr>
    <w:rPr>
      <w:rFonts w:cs="Arial"/>
      <w:szCs w:val="18"/>
    </w:rPr>
  </w:style>
  <w:style w:type="paragraph" w:customStyle="1" w:styleId="CopyrightText">
    <w:name w:val="Copyright Text"/>
    <w:basedOn w:val="BodyText"/>
    <w:rsid w:val="00C27F1C"/>
    <w:rPr>
      <w:sz w:val="18"/>
    </w:rPr>
  </w:style>
  <w:style w:type="paragraph" w:customStyle="1" w:styleId="BodySmallRight">
    <w:name w:val="Body Small Right"/>
    <w:basedOn w:val="BodyTextRight"/>
    <w:rsid w:val="00C27F1C"/>
    <w:rPr>
      <w:sz w:val="18"/>
      <w:szCs w:val="18"/>
    </w:rPr>
  </w:style>
  <w:style w:type="paragraph" w:customStyle="1" w:styleId="MarginEdition">
    <w:name w:val="Margin Edition"/>
    <w:basedOn w:val="MarginNote"/>
    <w:rsid w:val="00C27F1C"/>
    <w:pPr>
      <w:spacing w:before="0" w:after="0"/>
    </w:pPr>
    <w:rPr>
      <w:rFonts w:ascii="Times New Roman" w:hAnsi="Times New Roman"/>
      <w:color w:val="999999"/>
    </w:rPr>
  </w:style>
  <w:style w:type="paragraph" w:customStyle="1" w:styleId="Spacer">
    <w:name w:val="Spacer"/>
    <w:basedOn w:val="Normal"/>
    <w:rsid w:val="00C27F1C"/>
    <w:rPr>
      <w:sz w:val="2"/>
      <w:szCs w:val="2"/>
    </w:rPr>
  </w:style>
  <w:style w:type="character" w:customStyle="1" w:styleId="Small">
    <w:name w:val="Small"/>
    <w:basedOn w:val="DefaultParagraphFont"/>
    <w:rsid w:val="00C27F1C"/>
    <w:rPr>
      <w:sz w:val="16"/>
    </w:rPr>
  </w:style>
  <w:style w:type="paragraph" w:customStyle="1" w:styleId="WideTable">
    <w:name w:val="Wide Table"/>
    <w:basedOn w:val="Normal"/>
    <w:rsid w:val="00C27F1C"/>
    <w:pPr>
      <w:ind w:left="-1418"/>
    </w:pPr>
    <w:rPr>
      <w:sz w:val="2"/>
      <w:szCs w:val="2"/>
    </w:rPr>
  </w:style>
  <w:style w:type="character" w:styleId="PageNumber">
    <w:name w:val="page number"/>
    <w:basedOn w:val="DefaultParagraphFont"/>
    <w:rsid w:val="00C27F1C"/>
  </w:style>
  <w:style w:type="paragraph" w:styleId="Quote">
    <w:name w:val="Quote"/>
    <w:basedOn w:val="Heading1"/>
    <w:link w:val="QuoteChar"/>
    <w:qFormat/>
    <w:rsid w:val="00C27F1C"/>
    <w:rPr>
      <w:b w:val="0"/>
      <w:sz w:val="72"/>
      <w:szCs w:val="72"/>
      <w:lang w:val="en-NZ"/>
    </w:rPr>
  </w:style>
  <w:style w:type="character" w:customStyle="1" w:styleId="QuoteChar">
    <w:name w:val="Quote Char"/>
    <w:basedOn w:val="DefaultParagraphFont"/>
    <w:link w:val="Quote"/>
    <w:rsid w:val="00C27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F1C"/>
    <w:pPr>
      <w:pageBreakBefore/>
    </w:pPr>
  </w:style>
  <w:style w:type="paragraph" w:customStyle="1" w:styleId="Border">
    <w:name w:val="Border"/>
    <w:basedOn w:val="Normal"/>
    <w:qFormat/>
    <w:rsid w:val="00C27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F1C"/>
    <w:rPr>
      <w:b/>
      <w:bCs/>
      <w:i/>
      <w:iCs/>
      <w:color w:val="auto"/>
    </w:rPr>
  </w:style>
  <w:style w:type="paragraph" w:styleId="IntenseQuote">
    <w:name w:val="Intense Quote"/>
    <w:basedOn w:val="Normal"/>
    <w:next w:val="Normal"/>
    <w:link w:val="IntenseQuoteChar"/>
    <w:uiPriority w:val="30"/>
    <w:qFormat/>
    <w:rsid w:val="00C27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F1C"/>
    <w:rPr>
      <w:smallCaps/>
      <w:color w:val="auto"/>
      <w:u w:val="single"/>
    </w:rPr>
  </w:style>
  <w:style w:type="character" w:styleId="IntenseReference">
    <w:name w:val="Intense Reference"/>
    <w:basedOn w:val="DefaultParagraphFont"/>
    <w:uiPriority w:val="32"/>
    <w:qFormat/>
    <w:rsid w:val="00C27F1C"/>
    <w:rPr>
      <w:b/>
      <w:bCs/>
      <w:smallCaps/>
      <w:color w:val="auto"/>
      <w:spacing w:val="5"/>
      <w:u w:val="single"/>
    </w:rPr>
  </w:style>
  <w:style w:type="paragraph" w:customStyle="1" w:styleId="2ColumnHeading">
    <w:name w:val="2Column Heading"/>
    <w:basedOn w:val="BodyText"/>
    <w:qFormat/>
    <w:rsid w:val="00C27F1C"/>
    <w:pPr>
      <w:spacing w:after="60"/>
      <w:ind w:left="-2268"/>
    </w:pPr>
    <w:rPr>
      <w:b/>
    </w:rPr>
  </w:style>
  <w:style w:type="paragraph" w:customStyle="1" w:styleId="Heading1TOC">
    <w:name w:val="Heading1 TOC"/>
    <w:basedOn w:val="Normal"/>
    <w:qFormat/>
    <w:rsid w:val="00C27F1C"/>
    <w:pPr>
      <w:spacing w:before="240" w:after="120"/>
    </w:pPr>
    <w:rPr>
      <w:rFonts w:ascii="Times New Roman" w:hAnsi="Times New Roman"/>
      <w:b/>
      <w:sz w:val="32"/>
    </w:rPr>
  </w:style>
  <w:style w:type="paragraph" w:customStyle="1" w:styleId="Heading2TOC">
    <w:name w:val="Heading2 TOC"/>
    <w:basedOn w:val="Normal"/>
    <w:qFormat/>
    <w:rsid w:val="00C27F1C"/>
    <w:pPr>
      <w:spacing w:before="240" w:after="60"/>
    </w:pPr>
    <w:rPr>
      <w:rFonts w:ascii="Times New Roman" w:hAnsi="Times New Roman"/>
      <w:b/>
      <w:sz w:val="28"/>
    </w:rPr>
  </w:style>
  <w:style w:type="character" w:customStyle="1" w:styleId="Underline">
    <w:name w:val="Underline"/>
    <w:basedOn w:val="DefaultParagraphFont"/>
    <w:qFormat/>
    <w:rsid w:val="00C27F1C"/>
    <w:rPr>
      <w:u w:val="single"/>
    </w:rPr>
  </w:style>
  <w:style w:type="character" w:customStyle="1" w:styleId="BoldandItalics">
    <w:name w:val="Bold and Italics"/>
    <w:qFormat/>
    <w:rsid w:val="00C27F1C"/>
    <w:rPr>
      <w:b/>
      <w:i/>
      <w:u w:val="none"/>
    </w:rPr>
  </w:style>
  <w:style w:type="paragraph" w:styleId="BalloonText">
    <w:name w:val="Balloon Text"/>
    <w:basedOn w:val="Normal"/>
    <w:link w:val="BalloonTextChar"/>
    <w:rsid w:val="00C27F1C"/>
    <w:rPr>
      <w:rFonts w:ascii="Tahoma" w:hAnsi="Tahoma" w:cs="Tahoma"/>
      <w:sz w:val="16"/>
      <w:szCs w:val="16"/>
    </w:rPr>
  </w:style>
  <w:style w:type="character" w:customStyle="1" w:styleId="BalloonTextChar">
    <w:name w:val="Balloon Text Char"/>
    <w:basedOn w:val="DefaultParagraphFont"/>
    <w:link w:val="BalloonText"/>
    <w:rsid w:val="00C27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F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F1C"/>
    <w:rPr>
      <w:b/>
      <w:color w:val="660033"/>
      <w:spacing w:val="0"/>
    </w:rPr>
  </w:style>
  <w:style w:type="paragraph" w:customStyle="1" w:styleId="Nameditemlist">
    <w:name w:val="Named item list"/>
    <w:basedOn w:val="BodyText"/>
    <w:qFormat/>
    <w:rsid w:val="00C27F1C"/>
    <w:pPr>
      <w:tabs>
        <w:tab w:val="left" w:pos="2835"/>
      </w:tabs>
      <w:ind w:left="2835" w:hanging="2835"/>
    </w:pPr>
  </w:style>
  <w:style w:type="paragraph" w:customStyle="1" w:styleId="BodyTextnopadding">
    <w:name w:val="Body Text no padding"/>
    <w:basedOn w:val="BodyText"/>
    <w:qFormat/>
    <w:rsid w:val="00C27F1C"/>
    <w:pPr>
      <w:spacing w:before="0" w:after="0"/>
    </w:pPr>
  </w:style>
  <w:style w:type="character" w:styleId="Hyperlink">
    <w:name w:val="Hyperlink"/>
    <w:basedOn w:val="DefaultParagraphFont"/>
    <w:uiPriority w:val="99"/>
    <w:unhideWhenUsed/>
    <w:rsid w:val="00540B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1333</Words>
  <Characters>8638</Characters>
  <Application>Microsoft Office Word</Application>
  <DocSecurity>0</DocSecurity>
  <Lines>239</Lines>
  <Paragraphs>188</Paragraphs>
  <ScaleCrop>false</ScaleCrop>
  <Company>Author-it Software Corporation Ltd.</Company>
  <LinksUpToDate>false</LinksUpToDate>
  <CharactersWithSpaces>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RIIMCU502E Implement the gas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