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B8A" w:rsidP="00793B8A">
      <w:pPr>
        <w:pStyle w:val="Title"/>
      </w:pPr>
      <w:r>
        <w:fldChar w:fldCharType="begin"/>
      </w:r>
      <w:r>
        <w:instrText xml:space="preserve"> TITLE   \* MERGEFORMAT </w:instrText>
      </w:r>
      <w:r>
        <w:fldChar w:fldCharType="separate"/>
      </w:r>
      <w:r>
        <w:t>Assessment Requirements for RIIMCU502D Implement the gas management plan</w:t>
      </w:r>
      <w:r>
        <w:fldChar w:fldCharType="end"/>
      </w:r>
    </w:p>
    <w:p w:rsidR="00793B8A" w:rsidP="00793B8A">
      <w:pPr>
        <w:pStyle w:val="Version"/>
        <w:sectPr w:rsidSect="00572A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2AE3" w:rsidP="00572AE3">
      <w:pPr>
        <w:pStyle w:val="SuperHeading"/>
      </w:pPr>
      <w:r w:rsidRPr="00572AE3">
        <w:t>Assessment Requirements for RIIMCU502D Implement the gas management plan</w:t>
      </w:r>
    </w:p>
    <w:p w:rsidR="00000000" w:rsidRPr="00572AE3" w:rsidP="00572AE3">
      <w:pPr>
        <w:pStyle w:val="Heading1"/>
      </w:pPr>
      <w:bookmarkStart w:id="1" w:name="O_689808"/>
      <w:bookmarkEnd w:id="1"/>
      <w:r w:rsidRPr="00572AE3">
        <w:t>Modification History</w:t>
      </w:r>
    </w:p>
    <w:tbl>
      <w:tblPr>
        <w:tblW w:w="9270" w:type="dxa"/>
        <w:tblLayout w:type="fixed"/>
        <w:tblCellMar>
          <w:left w:w="62" w:type="dxa"/>
          <w:right w:w="62" w:type="dxa"/>
        </w:tblCellMar>
        <w:tblLook w:val="0000"/>
      </w:tblPr>
      <w:tblGrid>
        <w:gridCol w:w="1170"/>
        <w:gridCol w:w="8100"/>
      </w:tblGrid>
      <w:tr w:rsidTr="00793B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AE3">
            <w:pPr>
              <w:pStyle w:val="BodyText"/>
              <w:rPr>
                <w:lang w:val="en-NZ"/>
              </w:rPr>
            </w:pPr>
            <w:r w:rsidRPr="00572AE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AE3">
            <w:pPr>
              <w:pStyle w:val="BodyText"/>
              <w:rPr>
                <w:lang w:val="en-NZ"/>
              </w:rPr>
            </w:pPr>
            <w:r w:rsidRPr="00572AE3">
              <w:t>Comment</w:t>
            </w:r>
          </w:p>
        </w:tc>
      </w:tr>
      <w:tr w:rsidTr="00793B8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AE3">
            <w:pPr>
              <w:pStyle w:val="BodyText"/>
              <w:rPr>
                <w:lang w:val="en-NZ"/>
              </w:rPr>
            </w:pPr>
            <w:r w:rsidRPr="00572AE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AE3">
            <w:pPr>
              <w:pStyle w:val="BodyText"/>
              <w:rPr>
                <w:lang w:val="en-NZ"/>
              </w:rPr>
            </w:pPr>
            <w:r w:rsidRPr="00572AE3">
              <w:t>This unit replaces RIIMCU502A Implement the gas management plan</w:t>
            </w:r>
          </w:p>
        </w:tc>
      </w:tr>
      <w:tr w:rsidTr="00793B8A">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AE3">
            <w:pPr>
              <w:pStyle w:val="BodyText"/>
              <w:rPr>
                <w:lang w:val="en-NZ"/>
              </w:rPr>
            </w:pPr>
            <w:r w:rsidRPr="00572AE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AE3" w:rsidP="00572AE3">
            <w:pPr>
              <w:pStyle w:val="BodyText"/>
            </w:pPr>
            <w:r w:rsidRPr="00572AE3">
              <w:t>Required frequency and volume of evidence amended in Performance evidence.</w:t>
            </w:r>
            <w:r w:rsidRPr="00572AE3">
              <w:br/>
              <w:t>Substantial amendments made in Assessment Conditions field, including: references to Industry Sectors, assessor and subject matter expert experience requirements, how assessment sho</w:t>
            </w:r>
            <w:r w:rsidRPr="00572AE3">
              <w:t>uld be conducted and what it should confirm.</w:t>
            </w:r>
          </w:p>
        </w:tc>
      </w:tr>
    </w:tbl>
    <w:p w:rsidR="00000000" w:rsidRPr="00572AE3" w:rsidP="00572AE3">
      <w:pPr>
        <w:pStyle w:val="BodyText"/>
      </w:pPr>
    </w:p>
    <w:p w:rsidR="00000000" w:rsidRPr="00572AE3" w:rsidP="00572AE3">
      <w:pPr>
        <w:pStyle w:val="AllowPageBreak"/>
      </w:pPr>
    </w:p>
    <w:p w:rsidR="00000000" w:rsidRPr="00572AE3" w:rsidP="00572AE3">
      <w:pPr>
        <w:pStyle w:val="Heading1"/>
      </w:pPr>
      <w:bookmarkStart w:id="2" w:name="O_689807"/>
      <w:bookmarkEnd w:id="2"/>
      <w:r w:rsidRPr="00572AE3">
        <w:t>Performance Evidence</w:t>
      </w:r>
    </w:p>
    <w:p w:rsidR="00000000" w:rsidRPr="00572AE3" w:rsidP="00793B8A">
      <w:pPr>
        <w:pStyle w:val="BodyText"/>
      </w:pPr>
      <w:r w:rsidRPr="00572AE3">
        <w:t>Evidence is required to be collected that demonstrates a candidate’s competency in this unit. Evidence must be relevant to the roles within this sector’s work operations a</w:t>
      </w:r>
      <w:r w:rsidRPr="00572AE3">
        <w:t>nd satisfy all of the requirements of the performance criteria of this unit and include evidence that the candidate:</w:t>
      </w:r>
    </w:p>
    <w:p w:rsidR="00000000" w:rsidRPr="00572AE3" w:rsidP="00572AE3">
      <w:pPr>
        <w:pStyle w:val="ListBullet"/>
      </w:pPr>
      <w:r w:rsidRPr="00572AE3">
        <w:t>locates and applies relevant legislation, documentation, policies and procedures</w:t>
      </w:r>
    </w:p>
    <w:p w:rsidR="00000000" w:rsidRPr="00572AE3" w:rsidP="00572AE3">
      <w:pPr>
        <w:pStyle w:val="ListBullet"/>
      </w:pPr>
      <w:r w:rsidRPr="00572AE3">
        <w:t>implement</w:t>
      </w:r>
      <w:r w:rsidRPr="00572AE3">
        <w:t>s the procedures and techniques for the safe, effective and efficient implementation of the gas management plan including:</w:t>
      </w:r>
    </w:p>
    <w:p w:rsidR="00000000" w:rsidRPr="00572AE3" w:rsidP="00572AE3">
      <w:pPr>
        <w:pStyle w:val="ListBullet3"/>
      </w:pPr>
      <w:r w:rsidRPr="00572AE3">
        <w:t>operating hand held monitoring equipment</w:t>
      </w:r>
    </w:p>
    <w:p w:rsidR="00000000" w:rsidRPr="00572AE3" w:rsidP="00572AE3">
      <w:pPr>
        <w:pStyle w:val="ListBullet3"/>
      </w:pPr>
      <w:r w:rsidRPr="00572AE3">
        <w:t>collecting, collating and evaluating gas management data</w:t>
      </w:r>
    </w:p>
    <w:p w:rsidR="00000000" w:rsidRPr="00572AE3" w:rsidP="00572AE3">
      <w:pPr>
        <w:pStyle w:val="ListBullet3"/>
      </w:pPr>
      <w:r w:rsidRPr="00572AE3">
        <w:t>accessing, evaluating and applying</w:t>
      </w:r>
      <w:r w:rsidRPr="00572AE3">
        <w:t xml:space="preserve"> data from monitoring systems and equipment</w:t>
      </w:r>
    </w:p>
    <w:p w:rsidR="00000000" w:rsidRPr="00572AE3" w:rsidP="00572AE3">
      <w:pPr>
        <w:pStyle w:val="ListBullet3"/>
      </w:pPr>
      <w:r w:rsidRPr="00572AE3">
        <w:t>applying risk management processes and techniques</w:t>
      </w:r>
    </w:p>
    <w:p w:rsidR="00000000" w:rsidRPr="00572AE3" w:rsidP="00572AE3">
      <w:pPr>
        <w:pStyle w:val="ListBullet3"/>
      </w:pPr>
      <w:r w:rsidRPr="00572AE3">
        <w:t>accessing and analysing gas information related to the mine including archival and historical information</w:t>
      </w:r>
    </w:p>
    <w:p w:rsidR="00000000" w:rsidRPr="00572AE3" w:rsidP="00572AE3">
      <w:pPr>
        <w:pStyle w:val="ListBullet3"/>
      </w:pPr>
      <w:r w:rsidRPr="00572AE3">
        <w:t>interpreting and applying mathematical and scientific th</w:t>
      </w:r>
      <w:r w:rsidRPr="00572AE3">
        <w:t>eorems / laws related to gas</w:t>
      </w:r>
    </w:p>
    <w:p w:rsidR="00000000" w:rsidRPr="00572AE3" w:rsidP="00572AE3">
      <w:pPr>
        <w:pStyle w:val="ListBullet"/>
      </w:pPr>
      <w:r w:rsidRPr="00572AE3">
        <w:t>works with others to undertake and complete the implementation of the gas management plan that meets all of the required outcomes including:</w:t>
      </w:r>
    </w:p>
    <w:p w:rsidR="00000000" w:rsidRPr="00572AE3" w:rsidP="00572AE3">
      <w:pPr>
        <w:pStyle w:val="ListBullet3"/>
      </w:pPr>
      <w:r w:rsidRPr="00572AE3">
        <w:t>communicating clearly and concisely with others to receive and clarify work instruct</w:t>
      </w:r>
      <w:r w:rsidRPr="00572AE3">
        <w:t>ions, and convey work progress</w:t>
      </w:r>
    </w:p>
    <w:p w:rsidR="00000000" w:rsidRPr="00572AE3" w:rsidP="00572AE3">
      <w:pPr>
        <w:pStyle w:val="ListBullet3"/>
      </w:pPr>
      <w:r w:rsidRPr="00572AE3">
        <w:t>identifying and implementing gas management training requirements, programs, systems and procedures</w:t>
      </w:r>
    </w:p>
    <w:p w:rsidR="00000000" w:rsidRPr="00572AE3" w:rsidP="00572AE3">
      <w:pPr>
        <w:pStyle w:val="ListBullet3"/>
      </w:pPr>
      <w:r w:rsidRPr="00572AE3">
        <w:t>identifying the relevant information and scope of the work necessary to meet the required outcomes</w:t>
      </w:r>
    </w:p>
    <w:p w:rsidR="00000000" w:rsidRPr="00572AE3" w:rsidP="00572AE3">
      <w:pPr>
        <w:pStyle w:val="ListBullet"/>
      </w:pPr>
      <w:r w:rsidRPr="00572AE3">
        <w:t>demonstrates completion o</w:t>
      </w:r>
      <w:r w:rsidRPr="00572AE3">
        <w:t>f implementing the gas management plan that safely, effectively and efficiently meets all of the required outcomes on more than one (1) occasion including:</w:t>
      </w:r>
    </w:p>
    <w:p w:rsidR="00000000" w:rsidRPr="00572AE3" w:rsidP="00572AE3">
      <w:pPr>
        <w:pStyle w:val="ListBullet3"/>
      </w:pPr>
      <w:r w:rsidRPr="00572AE3">
        <w:t>conducting investigations and preparing reports</w:t>
      </w:r>
    </w:p>
    <w:p w:rsidR="00000000" w:rsidRPr="00572AE3" w:rsidP="00572AE3">
      <w:pPr>
        <w:pStyle w:val="ListBullet3"/>
      </w:pPr>
      <w:r w:rsidRPr="00572AE3">
        <w:t xml:space="preserve">conducting audit and review processes </w:t>
      </w:r>
    </w:p>
    <w:p w:rsidR="00000000" w:rsidRPr="00572AE3" w:rsidP="00572AE3">
      <w:pPr>
        <w:pStyle w:val="ListBullet3"/>
      </w:pPr>
      <w:r w:rsidRPr="00572AE3">
        <w:t>completing site document control requirements</w:t>
      </w:r>
    </w:p>
    <w:p w:rsidR="00000000" w:rsidRPr="00572AE3" w:rsidP="00572AE3">
      <w:pPr>
        <w:pStyle w:val="ListBullet3"/>
      </w:pPr>
      <w:r w:rsidRPr="00572AE3">
        <w:t>implementing procedures for the relocation, operation and maintenance of drilling rigs and gas drainage infrastructure</w:t>
      </w:r>
    </w:p>
    <w:p w:rsidR="00000000" w:rsidRPr="00572AE3" w:rsidP="00572AE3">
      <w:pPr>
        <w:pStyle w:val="AllowPageBreak"/>
      </w:pPr>
    </w:p>
    <w:p w:rsidR="00000000" w:rsidRPr="00572AE3" w:rsidP="00572AE3">
      <w:pPr>
        <w:pStyle w:val="Heading1"/>
      </w:pPr>
      <w:bookmarkStart w:id="3" w:name="O_689806"/>
      <w:bookmarkEnd w:id="3"/>
      <w:r w:rsidRPr="00572AE3">
        <w:t>Knowledge Evidence</w:t>
      </w:r>
    </w:p>
    <w:p w:rsidR="00000000" w:rsidRPr="00572AE3" w:rsidP="00793B8A">
      <w:pPr>
        <w:pStyle w:val="BodyText"/>
      </w:pPr>
      <w:r w:rsidRPr="00572AE3">
        <w:t>The candidate must demonstrate knowledge of implementin</w:t>
      </w:r>
      <w:r w:rsidRPr="00572AE3">
        <w:t>g the gas management plan through:</w:t>
      </w:r>
    </w:p>
    <w:p w:rsidR="00000000" w:rsidRPr="00572AE3" w:rsidP="00572AE3">
      <w:pPr>
        <w:pStyle w:val="ListBullet2"/>
      </w:pPr>
      <w:r w:rsidRPr="00572AE3">
        <w:t>identifying the principles of ventilation management including mine and goaf ventilation systems</w:t>
      </w:r>
    </w:p>
    <w:p w:rsidR="00000000" w:rsidRPr="00572AE3" w:rsidP="00572AE3">
      <w:pPr>
        <w:pStyle w:val="ListBullet2"/>
      </w:pPr>
      <w:r w:rsidRPr="00572AE3">
        <w:t>methods of mine ventilation and their applications / limitations including:</w:t>
      </w:r>
    </w:p>
    <w:p w:rsidR="00000000" w:rsidRPr="00572AE3" w:rsidP="00572AE3">
      <w:pPr>
        <w:pStyle w:val="ListBullet3"/>
      </w:pPr>
      <w:r w:rsidRPr="00572AE3">
        <w:t>exhaust / force, antitropal, homotropal, flank</w:t>
      </w:r>
      <w:r w:rsidRPr="00572AE3">
        <w:t xml:space="preserve"> returns, ascensional / decensional, bleeder, Z/U/Y systems and other combinations</w:t>
      </w:r>
    </w:p>
    <w:p w:rsidR="00000000" w:rsidRPr="00572AE3" w:rsidP="00572AE3">
      <w:pPr>
        <w:pStyle w:val="ListBullet2"/>
      </w:pPr>
      <w:r w:rsidRPr="00572AE3">
        <w:t>methods of panel gas management and their applications / limitations including:</w:t>
      </w:r>
    </w:p>
    <w:p w:rsidR="00000000" w:rsidRPr="00572AE3" w:rsidP="00572AE3">
      <w:pPr>
        <w:pStyle w:val="ListBullet3"/>
      </w:pPr>
      <w:r>
        <w:t>•</w:t>
      </w:r>
      <w:r>
        <w:tab/>
      </w:r>
      <w:r w:rsidRPr="00572AE3">
        <w:t>homotropal and antitropal (and in conjunction with these, the use of goaf bleed or back re</w:t>
      </w:r>
      <w:r w:rsidRPr="00572AE3">
        <w:t>turn), auxiliary fans, coursed ventilation (narrow side / wide side), machine mounted scrubber systems, compressed air venturis and bleeders</w:t>
      </w:r>
    </w:p>
    <w:p w:rsidR="00000000" w:rsidRPr="00572AE3" w:rsidP="00572AE3">
      <w:pPr>
        <w:pStyle w:val="ListBullet2"/>
      </w:pPr>
      <w:r w:rsidRPr="00572AE3">
        <w:t xml:space="preserve">methods of gas drainage including: </w:t>
      </w:r>
    </w:p>
    <w:p w:rsidR="00000000" w:rsidRPr="00572AE3" w:rsidP="00572AE3">
      <w:pPr>
        <w:pStyle w:val="ListBullet3"/>
      </w:pPr>
      <w:r w:rsidRPr="00572AE3">
        <w:t>their applications / limitations against the mine design, mine and panel vent</w:t>
      </w:r>
      <w:r w:rsidRPr="00572AE3">
        <w:t>ilation systems, systems of mining and current and future mine development</w:t>
      </w:r>
    </w:p>
    <w:p w:rsidR="00000000" w:rsidRPr="00572AE3" w:rsidP="00572AE3">
      <w:pPr>
        <w:pStyle w:val="ListBullet3"/>
      </w:pPr>
      <w:r w:rsidRPr="00572AE3">
        <w:t>coal characteristics and coal seam gradients on mine gas management systems</w:t>
      </w:r>
    </w:p>
    <w:p w:rsidR="00000000" w:rsidRPr="00572AE3" w:rsidP="00572AE3">
      <w:pPr>
        <w:pStyle w:val="ListBullet3"/>
      </w:pPr>
      <w:r w:rsidRPr="00572AE3">
        <w:t>mining techniques, and the impact of mine and panel design on gas management</w:t>
      </w:r>
    </w:p>
    <w:p w:rsidR="00000000" w:rsidRPr="00572AE3" w:rsidP="00572AE3">
      <w:pPr>
        <w:pStyle w:val="ListBullet3"/>
      </w:pPr>
      <w:r w:rsidRPr="00572AE3">
        <w:t>gas drainage on dust generation during mining</w:t>
      </w:r>
    </w:p>
    <w:p w:rsidR="00000000" w:rsidRPr="00572AE3" w:rsidP="00572AE3">
      <w:pPr>
        <w:pStyle w:val="ListBullet2"/>
      </w:pPr>
      <w:r w:rsidRPr="00572AE3">
        <w:t>geological data and identifying the impact of differing geological features and conditions on gas management and outburst including:</w:t>
      </w:r>
    </w:p>
    <w:p w:rsidR="00000000" w:rsidRPr="00572AE3" w:rsidP="00572AE3">
      <w:pPr>
        <w:pStyle w:val="ListBullet3"/>
      </w:pPr>
      <w:r w:rsidRPr="00572AE3">
        <w:t>faults, dykes, intrusions and strata deformities</w:t>
      </w:r>
    </w:p>
    <w:p w:rsidR="00000000" w:rsidRPr="00572AE3" w:rsidP="00793B8A">
      <w:pPr>
        <w:pStyle w:val="BodyText"/>
      </w:pPr>
      <w:r w:rsidRPr="00572AE3">
        <w:t>impacts of intersecting an</w:t>
      </w:r>
      <w:r w:rsidRPr="00572AE3">
        <w:t>d intersected holes and hole design</w:t>
      </w:r>
      <w:r>
        <w:t xml:space="preserve"> </w:t>
      </w:r>
      <w:r w:rsidRPr="00572AE3">
        <w:t>components/factors to be considered in the gas management plan including:</w:t>
      </w:r>
    </w:p>
    <w:p w:rsidR="00000000" w:rsidRPr="00572AE3" w:rsidP="00572AE3">
      <w:pPr>
        <w:pStyle w:val="ListBullet3"/>
      </w:pPr>
      <w:r w:rsidRPr="00572AE3">
        <w:t>mine gases: the types and their characteristics, sources, physiological effects and methods of detection</w:t>
      </w:r>
    </w:p>
    <w:p w:rsidR="00000000" w:rsidRPr="00572AE3" w:rsidP="00572AE3">
      <w:pPr>
        <w:pStyle w:val="ListBullet3"/>
      </w:pPr>
      <w:r w:rsidRPr="00572AE3">
        <w:t>mine fires: the types and possible impac</w:t>
      </w:r>
      <w:r w:rsidRPr="00572AE3">
        <w:t>ts on gas management</w:t>
      </w:r>
    </w:p>
    <w:p w:rsidR="00000000" w:rsidRPr="00572AE3" w:rsidP="00572AE3">
      <w:pPr>
        <w:pStyle w:val="ListBullet3"/>
      </w:pPr>
      <w:r w:rsidRPr="00572AE3">
        <w:t>mine explosions: the types, ignition sources and possible impacts on gas management</w:t>
      </w:r>
    </w:p>
    <w:p w:rsidR="00000000" w:rsidRPr="00572AE3" w:rsidP="00572AE3">
      <w:pPr>
        <w:pStyle w:val="ListBullet3"/>
      </w:pPr>
      <w:r w:rsidRPr="00572AE3">
        <w:t>pressure changes: causes and the impacts on gas management</w:t>
      </w:r>
    </w:p>
    <w:p w:rsidR="00000000" w:rsidRPr="00572AE3" w:rsidP="00572AE3">
      <w:pPr>
        <w:pStyle w:val="ListBullet3"/>
      </w:pPr>
      <w:r w:rsidRPr="00572AE3">
        <w:t>heat / humidity: the sources and factors which may impact on mine gas management</w:t>
      </w:r>
    </w:p>
    <w:p w:rsidR="00000000" w:rsidRPr="00572AE3" w:rsidP="00572AE3">
      <w:pPr>
        <w:pStyle w:val="ListBullet3"/>
      </w:pPr>
      <w:r w:rsidRPr="00572AE3">
        <w:t xml:space="preserve">effects of </w:t>
      </w:r>
      <w:r w:rsidRPr="00572AE3">
        <w:t>re-circulation</w:t>
      </w:r>
    </w:p>
    <w:p w:rsidR="00000000" w:rsidRPr="00572AE3" w:rsidP="00572AE3">
      <w:pPr>
        <w:pStyle w:val="ListBullet3"/>
      </w:pPr>
      <w:r w:rsidRPr="00572AE3">
        <w:t>methods of control of outburst</w:t>
      </w:r>
    </w:p>
    <w:p w:rsidR="00000000" w:rsidRPr="00572AE3" w:rsidP="00572AE3">
      <w:pPr>
        <w:pStyle w:val="ListBullet3"/>
      </w:pPr>
      <w:r w:rsidRPr="00572AE3">
        <w:t>underground water management techniques</w:t>
      </w:r>
    </w:p>
    <w:p w:rsidR="00000000" w:rsidRPr="00572AE3" w:rsidP="00572AE3">
      <w:pPr>
        <w:pStyle w:val="ListBullet3"/>
      </w:pPr>
      <w:r w:rsidRPr="00572AE3">
        <w:t>inertisation techniques</w:t>
      </w:r>
    </w:p>
    <w:p w:rsidR="00000000" w:rsidRPr="00572AE3" w:rsidP="00572AE3">
      <w:pPr>
        <w:pStyle w:val="ListBullet2"/>
      </w:pPr>
      <w:r w:rsidRPr="00572AE3">
        <w:t>equipment, monitoring systems and techniques including:</w:t>
      </w:r>
    </w:p>
    <w:p w:rsidR="00000000" w:rsidRPr="00572AE3" w:rsidP="00572AE3">
      <w:pPr>
        <w:pStyle w:val="ListBullet3"/>
      </w:pPr>
      <w:r w:rsidRPr="00572AE3">
        <w:t>mine fans: fan types, applications and limitations</w:t>
      </w:r>
    </w:p>
    <w:p w:rsidR="00000000" w:rsidRPr="00572AE3" w:rsidP="00572AE3">
      <w:pPr>
        <w:pStyle w:val="ListBullet3"/>
      </w:pPr>
      <w:r w:rsidRPr="00572AE3">
        <w:t>gas control devices: the types, purposes, design criteria and specifications, distribution / placement criteria and limitations</w:t>
      </w:r>
    </w:p>
    <w:p w:rsidR="00000000" w:rsidRPr="00572AE3" w:rsidP="00572AE3">
      <w:pPr>
        <w:pStyle w:val="ListBullet3"/>
      </w:pPr>
      <w:r w:rsidRPr="00572AE3">
        <w:t>de-gassing: methods of control – including brattice, auxiliary fans, compressed air venturis, sails, hurdles and bleeders</w:t>
      </w:r>
    </w:p>
    <w:p w:rsidR="00000000" w:rsidRPr="00572AE3" w:rsidP="00572AE3">
      <w:pPr>
        <w:pStyle w:val="ListBullet3"/>
      </w:pPr>
      <w:r w:rsidRPr="00572AE3">
        <w:t xml:space="preserve">fixed </w:t>
      </w:r>
      <w:r w:rsidRPr="00572AE3">
        <w:t>gas monitoring systems: types, uses and limitations</w:t>
      </w:r>
    </w:p>
    <w:p w:rsidR="00000000" w:rsidRPr="00572AE3" w:rsidP="00572AE3">
      <w:pPr>
        <w:pStyle w:val="ListBullet3"/>
      </w:pPr>
      <w:r w:rsidRPr="00572AE3">
        <w:t>portable monitoring equipment: types, characteristics, uses and limitations</w:t>
      </w:r>
    </w:p>
    <w:p w:rsidR="00000000" w:rsidRPr="00572AE3" w:rsidP="00572AE3">
      <w:pPr>
        <w:pStyle w:val="ListBullet3"/>
      </w:pPr>
      <w:r w:rsidRPr="00572AE3">
        <w:t>computer-based systems for mine gas analysis</w:t>
      </w:r>
    </w:p>
    <w:p w:rsidR="00000000" w:rsidRPr="00572AE3" w:rsidP="00572AE3">
      <w:pPr>
        <w:pStyle w:val="ListBullet3"/>
      </w:pPr>
      <w:r w:rsidRPr="00572AE3">
        <w:t>determining alarms and trigger points / levels</w:t>
      </w:r>
    </w:p>
    <w:p w:rsidR="00000000" w:rsidRPr="00572AE3" w:rsidP="00572AE3">
      <w:pPr>
        <w:pStyle w:val="ListBullet2"/>
      </w:pPr>
      <w:r>
        <w:t>•</w:t>
      </w:r>
      <w:r>
        <w:tab/>
      </w:r>
      <w:r w:rsidRPr="00572AE3">
        <w:t>ventilation theory including</w:t>
      </w:r>
    </w:p>
    <w:p w:rsidR="00000000" w:rsidRPr="00572AE3" w:rsidP="00572AE3">
      <w:pPr>
        <w:pStyle w:val="ListBullet3"/>
      </w:pPr>
      <w:r w:rsidRPr="00572AE3">
        <w:t xml:space="preserve">gas </w:t>
      </w:r>
      <w:r w:rsidRPr="00572AE3">
        <w:t>laws including Charles and Boyle</w:t>
      </w:r>
    </w:p>
    <w:p w:rsidR="00000000" w:rsidRPr="00572AE3" w:rsidP="00572AE3">
      <w:pPr>
        <w:pStyle w:val="ListBullet3"/>
      </w:pPr>
      <w:r w:rsidRPr="00572AE3">
        <w:t xml:space="preserve">natural ventilation </w:t>
      </w:r>
    </w:p>
    <w:p w:rsidR="00000000" w:rsidRPr="00572AE3" w:rsidP="00572AE3">
      <w:pPr>
        <w:pStyle w:val="ListBullet3"/>
      </w:pPr>
      <w:r w:rsidRPr="00572AE3">
        <w:t>Coward’s Triangle</w:t>
      </w:r>
    </w:p>
    <w:p w:rsidR="00000000" w:rsidRPr="00572AE3" w:rsidP="00572AE3">
      <w:pPr>
        <w:pStyle w:val="ListBullet3"/>
      </w:pPr>
      <w:r w:rsidRPr="00572AE3">
        <w:t>Graham’s Ratio</w:t>
      </w:r>
    </w:p>
    <w:p w:rsidR="00000000" w:rsidRPr="00572AE3" w:rsidP="00572AE3">
      <w:pPr>
        <w:pStyle w:val="ListBullet3"/>
      </w:pPr>
      <w:r w:rsidRPr="00572AE3">
        <w:t>Ellicott Diagram</w:t>
      </w:r>
    </w:p>
    <w:p w:rsidR="00000000" w:rsidRPr="00572AE3" w:rsidP="00572AE3">
      <w:pPr>
        <w:pStyle w:val="ListBullet3"/>
      </w:pPr>
      <w:r w:rsidRPr="00572AE3">
        <w:t>gas make</w:t>
      </w:r>
    </w:p>
    <w:p w:rsidR="00000000" w:rsidRPr="00572AE3" w:rsidP="00572AE3">
      <w:pPr>
        <w:pStyle w:val="ListBullet3"/>
      </w:pPr>
      <w:r w:rsidRPr="00572AE3">
        <w:t>Trickett’s Ratio</w:t>
      </w:r>
    </w:p>
    <w:p w:rsidR="00000000" w:rsidRPr="00572AE3" w:rsidP="00572AE3">
      <w:pPr>
        <w:pStyle w:val="ListBullet3"/>
      </w:pPr>
      <w:r w:rsidRPr="00572AE3">
        <w:t>leakage</w:t>
      </w:r>
    </w:p>
    <w:p w:rsidR="00000000" w:rsidRPr="00572AE3" w:rsidP="00572AE3">
      <w:pPr>
        <w:pStyle w:val="ListBullet3"/>
      </w:pPr>
      <w:r w:rsidRPr="00572AE3">
        <w:t>psychrometry and heat</w:t>
      </w:r>
    </w:p>
    <w:p w:rsidR="00000000" w:rsidRPr="00572AE3" w:rsidP="00572AE3">
      <w:pPr>
        <w:pStyle w:val="ListBullet3"/>
      </w:pPr>
      <w:r w:rsidRPr="00572AE3">
        <w:t>CO/CO2</w:t>
      </w:r>
    </w:p>
    <w:p w:rsidR="00000000" w:rsidRPr="00572AE3" w:rsidP="00572AE3">
      <w:pPr>
        <w:pStyle w:val="ListBullet3"/>
      </w:pPr>
      <w:r w:rsidRPr="00572AE3">
        <w:t>Kirchoff’s laws</w:t>
      </w:r>
    </w:p>
    <w:p w:rsidR="00000000" w:rsidRPr="00572AE3" w:rsidP="00572AE3">
      <w:pPr>
        <w:pStyle w:val="ListBullet3"/>
      </w:pPr>
      <w:r w:rsidRPr="00572AE3">
        <w:t>emergency response and evacuation/disaster planning processes and techniques</w:t>
      </w:r>
    </w:p>
    <w:p w:rsidR="00000000" w:rsidRPr="00572AE3" w:rsidP="00572AE3">
      <w:pPr>
        <w:pStyle w:val="AllowPageBreak"/>
      </w:pPr>
    </w:p>
    <w:p w:rsidR="00000000" w:rsidRPr="00572AE3" w:rsidP="00572AE3">
      <w:pPr>
        <w:pStyle w:val="Heading1"/>
      </w:pPr>
      <w:bookmarkStart w:id="4" w:name="O_689805"/>
      <w:bookmarkEnd w:id="4"/>
      <w:r w:rsidRPr="00572AE3">
        <w:t>Assessment Conditions</w:t>
      </w:r>
    </w:p>
    <w:p w:rsidR="00000000" w:rsidRPr="00572AE3" w:rsidP="00572AE3">
      <w:pPr>
        <w:pStyle w:val="ListBullet"/>
      </w:pPr>
      <w:r w:rsidRPr="00572AE3">
        <w:t xml:space="preserve">An assessor of this unit must satisfy the requirements of the NVR/AQTF or their successors; and Industry regulations for certification and </w:t>
      </w:r>
      <w:r w:rsidRPr="00572AE3">
        <w:t xml:space="preserve">licensing; and, </w:t>
      </w:r>
    </w:p>
    <w:p w:rsidR="00000000" w:rsidRPr="00572AE3" w:rsidP="00572AE3">
      <w:pPr>
        <w:pStyle w:val="ListBullet"/>
      </w:pPr>
      <w:r w:rsidRPr="00572AE3">
        <w:t>this unit must be assessed in the context of this sector’s work environment; and,</w:t>
      </w:r>
    </w:p>
    <w:p w:rsidR="00000000" w:rsidRPr="00572AE3" w:rsidP="00572AE3">
      <w:pPr>
        <w:pStyle w:val="ListBullet"/>
      </w:pPr>
      <w:r w:rsidRPr="00572AE3">
        <w:t>this unit must be assessed in compliance with relevant legislation/regulation and using policies, procedures, processes and operational manuals directly related to the industry sector for which it is being assessed; and,</w:t>
      </w:r>
    </w:p>
    <w:p w:rsidR="00000000" w:rsidRPr="00572AE3" w:rsidP="00572AE3">
      <w:pPr>
        <w:pStyle w:val="ListBullet"/>
      </w:pPr>
      <w:r w:rsidRPr="00572AE3">
        <w:t>assessment may be conducted in conj</w:t>
      </w:r>
      <w:r w:rsidRPr="00572AE3">
        <w:t>unction with the assessment of other Units of Competency; and,</w:t>
      </w:r>
    </w:p>
    <w:p w:rsidR="00000000" w:rsidRPr="00572AE3" w:rsidP="00572AE3">
      <w:pPr>
        <w:pStyle w:val="ListBullet"/>
      </w:pPr>
      <w:r w:rsidRPr="00572AE3">
        <w:t>assessment must confirm consistent performance can be applied in a range of relevant workplace circumstances; and,</w:t>
      </w:r>
    </w:p>
    <w:p w:rsidR="00000000" w:rsidRPr="00572AE3" w:rsidP="00572AE3">
      <w:pPr>
        <w:pStyle w:val="ListBullet"/>
      </w:pPr>
      <w:r w:rsidRPr="00572AE3">
        <w:t>assessors must demonstrate the performance evidence, and knowledge evidence as</w:t>
      </w:r>
      <w:r w:rsidRPr="00572AE3">
        <w:t xml:space="preserve"> outlined in this Unit of Competency, and through the minimum years of current* work experience specified below in an Industry sector relevant to the outcomes of the unit; or,</w:t>
      </w:r>
    </w:p>
    <w:p w:rsidR="00000000" w:rsidRPr="00572AE3" w:rsidP="00572AE3">
      <w:pPr>
        <w:pStyle w:val="ListBullet"/>
      </w:pPr>
      <w:r w:rsidRPr="00572AE3">
        <w:t>where the assessor does not meet experience requirements a co-assessment or part</w:t>
      </w:r>
      <w:r w:rsidRPr="00572AE3">
        <w:t>nership arrangement must exist between the qualified assessor and an Industry subject matter expert. The Industry subject matter expert should hold the unit being assessed (or an equivalent unit) and/or demonstrate equivalence of skills and knowledge at th</w:t>
      </w:r>
      <w:r w:rsidRPr="00572AE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72AE3" w:rsidP="00572AE3">
      <w:pPr>
        <w:pStyle w:val="ListBullet"/>
      </w:pPr>
      <w:r w:rsidRPr="00572AE3">
        <w:t xml:space="preserve">assessor </w:t>
      </w:r>
      <w:r w:rsidRPr="00572AE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72A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Required assessor or Industry subject</w:t>
            </w:r>
            <w:r w:rsidRPr="00572AE3">
              <w:t xml:space="preserve"> matter expert experience</w:t>
            </w:r>
          </w:p>
        </w:tc>
      </w:tr>
      <w:tr w:rsidTr="00572AE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1 Year</w:t>
            </w:r>
          </w:p>
        </w:tc>
      </w:tr>
      <w:tr w:rsidTr="00572AE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2 Years</w:t>
            </w:r>
          </w:p>
        </w:tc>
      </w:tr>
      <w:tr w:rsidTr="00572A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3 Years</w:t>
            </w:r>
          </w:p>
        </w:tc>
      </w:tr>
      <w:tr w:rsidTr="00572A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5 Years</w:t>
            </w:r>
          </w:p>
        </w:tc>
      </w:tr>
      <w:tr w:rsidTr="00572A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2AE3">
            <w:pPr>
              <w:pStyle w:val="BodyText"/>
              <w:rPr>
                <w:lang w:val="en-NZ"/>
              </w:rPr>
            </w:pPr>
            <w:r w:rsidRPr="00572AE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2AE3" w:rsidP="00572AE3">
            <w:pPr>
              <w:pStyle w:val="BodyText"/>
            </w:pPr>
            <w:r w:rsidRPr="00572AE3">
              <w:t>Where this Unit is being assessed outside of the Resources and Infrastructure Sectors assessor and/or Industry subject matter expert experience should be in-line with industry standards for the sector in which it is being assessed an</w:t>
            </w:r>
            <w:r w:rsidRPr="00572AE3">
              <w:t>d where no Industry standard is specified should comply with any relevant regulation.</w:t>
            </w:r>
          </w:p>
        </w:tc>
      </w:tr>
    </w:tbl>
    <w:p w:rsidR="00000000" w:rsidRPr="00572AE3" w:rsidP="00793B8A">
      <w:pPr>
        <w:pStyle w:val="BodyText"/>
      </w:pPr>
      <w:r w:rsidRPr="00572AE3">
        <w:t>*Assessors can demonstrate current work experience through employment within Industry in a role relevant to the outcomes of the Unit; or, for external assessors this ca</w:t>
      </w:r>
      <w:r w:rsidRPr="00572AE3">
        <w:t>n be demonstrated through exposure to Industry by conducting frequent site assessments across various locations.</w:t>
      </w:r>
    </w:p>
    <w:p w:rsidR="00793B8A" w:rsidP="00793B8A">
      <w:pPr>
        <w:pStyle w:val="BodyText"/>
      </w:pPr>
      <w:r w:rsidRPr="00572AE3">
        <w:t xml:space="preserve">**Where a unit is being delivered outside of a Qualification the first numeric character in the Unit code should be considered to indicate the </w:t>
      </w:r>
      <w:r w:rsidRPr="00572AE3">
        <w:t>AQF level</w:t>
      </w:r>
    </w:p>
    <w:p w:rsidR="00000000" w:rsidRPr="00572AE3" w:rsidP="00572AE3">
      <w:pPr>
        <w:pStyle w:val="Heading1"/>
      </w:pPr>
      <w:bookmarkStart w:id="5" w:name="O_689817"/>
      <w:bookmarkEnd w:id="5"/>
      <w:r w:rsidRPr="00572AE3">
        <w:t>Links</w:t>
      </w:r>
    </w:p>
    <w:p w:rsidR="00000000" w:rsidRPr="00572AE3" w:rsidP="00793B8A">
      <w:pPr>
        <w:pStyle w:val="BodyText"/>
      </w:pPr>
      <w:r w:rsidRPr="00572AE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66AF">
        <w:rPr>
          <w:rStyle w:val="Hyperlink"/>
        </w:rPr>
        <w:t>https://vetnet.gov.au/Pages/TrainingDocs.aspx?q=88a61002-9a21-4386-aaf8-69c76e675272</w:t>
      </w:r>
      <w:r>
        <w:fldChar w:fldCharType="end"/>
      </w:r>
    </w:p>
    <w:p w:rsidR="00000000" w:rsidRPr="00572AE3" w:rsidP="00572AE3"/>
    <w:sectPr w:rsidSect="00572A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E3" w:rsidRPr="00793B8A" w:rsidP="00793B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8A" w:rsidP="00572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3B8A" w:rsidP="00572AE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93B8A" w:rsidP="00572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AE3" w:rsidRPr="00793B8A" w:rsidP="00793B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8A" w:rsidRPr="002D2AF8" w:rsidP="00572AE3">
    <w:pPr>
      <w:pStyle w:val="Header"/>
      <w:framePr w:wrap="around"/>
    </w:pPr>
    <w:r>
      <w:fldChar w:fldCharType="begin"/>
    </w:r>
    <w:r>
      <w:instrText xml:space="preserve"> TITLE   \* MERGEFORMAT </w:instrText>
    </w:r>
    <w:r>
      <w:fldChar w:fldCharType="separate"/>
    </w:r>
    <w:r>
      <w:t>Assessment Requirements for RIIMCU502D Implement the gas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93B8A" w:rsidP="00572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DC6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2B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026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AE3"/>
    <w:pPr>
      <w:spacing w:before="360" w:after="60"/>
      <w:outlineLvl w:val="0"/>
    </w:pPr>
    <w:rPr>
      <w:sz w:val="32"/>
    </w:rPr>
  </w:style>
  <w:style w:type="paragraph" w:styleId="Heading2">
    <w:name w:val="heading 2"/>
    <w:basedOn w:val="HeadingBase"/>
    <w:next w:val="BodyText"/>
    <w:link w:val="Heading2Char"/>
    <w:qFormat/>
    <w:rsid w:val="00572AE3"/>
    <w:pPr>
      <w:keepLines/>
      <w:spacing w:before="240" w:after="120"/>
      <w:outlineLvl w:val="1"/>
    </w:pPr>
    <w:rPr>
      <w:sz w:val="28"/>
      <w:szCs w:val="40"/>
    </w:rPr>
  </w:style>
  <w:style w:type="paragraph" w:styleId="Heading3">
    <w:name w:val="heading 3"/>
    <w:basedOn w:val="HeadingBase"/>
    <w:next w:val="BodyText"/>
    <w:link w:val="Heading3Char"/>
    <w:qFormat/>
    <w:rsid w:val="00572AE3"/>
    <w:pPr>
      <w:spacing w:before="180" w:after="120"/>
      <w:outlineLvl w:val="2"/>
    </w:pPr>
    <w:rPr>
      <w:spacing w:val="-10"/>
      <w:kern w:val="32"/>
    </w:rPr>
  </w:style>
  <w:style w:type="paragraph" w:styleId="Heading4">
    <w:name w:val="heading 4"/>
    <w:basedOn w:val="HeadingBase"/>
    <w:next w:val="BodyText"/>
    <w:link w:val="Heading4Char"/>
    <w:qFormat/>
    <w:rsid w:val="00572AE3"/>
    <w:pPr>
      <w:spacing w:before="160" w:after="120"/>
      <w:outlineLvl w:val="3"/>
    </w:pPr>
    <w:rPr>
      <w:sz w:val="22"/>
    </w:rPr>
  </w:style>
  <w:style w:type="paragraph" w:styleId="Heading5">
    <w:name w:val="heading 5"/>
    <w:basedOn w:val="HeadingBase"/>
    <w:next w:val="Normal"/>
    <w:link w:val="Heading5Char"/>
    <w:qFormat/>
    <w:rsid w:val="00572AE3"/>
    <w:pPr>
      <w:spacing w:before="80"/>
      <w:outlineLvl w:val="4"/>
    </w:pPr>
    <w:rPr>
      <w:color w:val="918585"/>
      <w:sz w:val="20"/>
    </w:rPr>
  </w:style>
  <w:style w:type="paragraph" w:styleId="Heading6">
    <w:name w:val="heading 6"/>
    <w:basedOn w:val="HeadingBase"/>
    <w:next w:val="Normal"/>
    <w:link w:val="Heading6Char"/>
    <w:qFormat/>
    <w:rsid w:val="00572AE3"/>
    <w:pPr>
      <w:spacing w:before="60"/>
      <w:outlineLvl w:val="5"/>
    </w:pPr>
    <w:rPr>
      <w:color w:val="918585"/>
      <w:sz w:val="20"/>
    </w:rPr>
  </w:style>
  <w:style w:type="paragraph" w:styleId="Heading7">
    <w:name w:val="heading 7"/>
    <w:basedOn w:val="Normal"/>
    <w:next w:val="Normal"/>
    <w:link w:val="Heading7Char"/>
    <w:qFormat/>
    <w:rsid w:val="00572AE3"/>
    <w:pPr>
      <w:ind w:left="720"/>
      <w:outlineLvl w:val="6"/>
    </w:pPr>
    <w:rPr>
      <w:i/>
    </w:rPr>
  </w:style>
  <w:style w:type="paragraph" w:styleId="Heading8">
    <w:name w:val="heading 8"/>
    <w:basedOn w:val="Normal"/>
    <w:next w:val="Normal"/>
    <w:link w:val="Heading8Char"/>
    <w:qFormat/>
    <w:rsid w:val="00572AE3"/>
    <w:pPr>
      <w:ind w:left="720"/>
      <w:outlineLvl w:val="7"/>
    </w:pPr>
    <w:rPr>
      <w:i/>
    </w:rPr>
  </w:style>
  <w:style w:type="paragraph" w:styleId="Heading9">
    <w:name w:val="heading 9"/>
    <w:basedOn w:val="Normal"/>
    <w:next w:val="Normal"/>
    <w:link w:val="Heading9Char"/>
    <w:qFormat/>
    <w:rsid w:val="00572AE3"/>
    <w:pPr>
      <w:ind w:left="720"/>
      <w:outlineLvl w:val="8"/>
    </w:pPr>
    <w:rPr>
      <w:i/>
    </w:rPr>
  </w:style>
  <w:style w:type="character" w:default="1" w:styleId="DefaultParagraphFont">
    <w:name w:val="Default Paragraph Font"/>
    <w:uiPriority w:val="1"/>
    <w:unhideWhenUsed/>
    <w:rsid w:val="00572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AE3"/>
  </w:style>
  <w:style w:type="character" w:customStyle="1" w:styleId="Heading1Char">
    <w:name w:val="Heading 1 Char"/>
    <w:basedOn w:val="DefaultParagraphFont"/>
    <w:link w:val="Heading1"/>
    <w:rsid w:val="00572AE3"/>
    <w:rPr>
      <w:rFonts w:ascii="Times New Roman" w:eastAsia="Times New Roman" w:hAnsi="Times New Roman" w:cs="Times New Roman"/>
      <w:b/>
      <w:sz w:val="32"/>
      <w:szCs w:val="20"/>
      <w:lang w:eastAsia="en-US"/>
    </w:rPr>
  </w:style>
  <w:style w:type="paragraph" w:styleId="BodyText">
    <w:name w:val="Body Text"/>
    <w:basedOn w:val="Normal"/>
    <w:link w:val="BodyTextChar"/>
    <w:rsid w:val="00572A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AE3"/>
    <w:rPr>
      <w:rFonts w:ascii="Times New Roman" w:eastAsia="Times New Roman" w:hAnsi="Times New Roman" w:cs="Times New Roman"/>
      <w:sz w:val="24"/>
      <w:lang w:eastAsia="en-US"/>
    </w:rPr>
  </w:style>
  <w:style w:type="paragraph" w:styleId="ListBullet">
    <w:name w:val="List Bullet"/>
    <w:basedOn w:val="List"/>
    <w:rsid w:val="00572AE3"/>
    <w:pPr>
      <w:numPr>
        <w:numId w:val="13"/>
      </w:numPr>
      <w:tabs>
        <w:tab w:val="clear" w:pos="340"/>
      </w:tabs>
      <w:spacing w:before="40" w:after="40"/>
    </w:pPr>
  </w:style>
  <w:style w:type="paragraph" w:styleId="ListBullet2">
    <w:name w:val="List Bullet 2"/>
    <w:basedOn w:val="List2"/>
    <w:rsid w:val="00572AE3"/>
    <w:pPr>
      <w:numPr>
        <w:numId w:val="14"/>
      </w:numPr>
      <w:tabs>
        <w:tab w:val="clear" w:pos="680"/>
      </w:tabs>
    </w:pPr>
  </w:style>
  <w:style w:type="paragraph" w:customStyle="1" w:styleId="SuperHeading">
    <w:name w:val="SuperHeading"/>
    <w:basedOn w:val="Normal"/>
    <w:rsid w:val="00572AE3"/>
    <w:pPr>
      <w:spacing w:before="240" w:after="120"/>
      <w:outlineLvl w:val="0"/>
    </w:pPr>
    <w:rPr>
      <w:rFonts w:ascii="Times New Roman" w:hAnsi="Times New Roman"/>
      <w:b/>
      <w:sz w:val="32"/>
    </w:rPr>
  </w:style>
  <w:style w:type="paragraph" w:customStyle="1" w:styleId="AllowPageBreak">
    <w:name w:val="AllowPageBreak"/>
    <w:rsid w:val="00572A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2AE3"/>
    <w:pPr>
      <w:numPr>
        <w:numId w:val="3"/>
      </w:numPr>
      <w:tabs>
        <w:tab w:val="clear" w:pos="1021"/>
      </w:tabs>
      <w:ind w:left="1037" w:hanging="357"/>
    </w:pPr>
  </w:style>
  <w:style w:type="character" w:customStyle="1" w:styleId="Heading2Char">
    <w:name w:val="Heading 2 Char"/>
    <w:basedOn w:val="DefaultParagraphFont"/>
    <w:link w:val="Heading2"/>
    <w:rsid w:val="00572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AE3"/>
    <w:rPr>
      <w:rFonts w:ascii="Courier New" w:eastAsia="Times New Roman" w:hAnsi="Courier New" w:cs="Times New Roman"/>
      <w:i/>
      <w:szCs w:val="20"/>
      <w:lang w:eastAsia="en-US"/>
    </w:rPr>
  </w:style>
  <w:style w:type="paragraph" w:customStyle="1" w:styleId="HeadingBase">
    <w:name w:val="Heading Base"/>
    <w:rsid w:val="00572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AE3"/>
    <w:pPr>
      <w:tabs>
        <w:tab w:val="right" w:leader="dot" w:pos="9072"/>
      </w:tabs>
      <w:ind w:left="567"/>
    </w:pPr>
    <w:rPr>
      <w:szCs w:val="22"/>
    </w:rPr>
  </w:style>
  <w:style w:type="paragraph" w:customStyle="1" w:styleId="TOCBase">
    <w:name w:val="TOC Base"/>
    <w:rsid w:val="00572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AE3"/>
    <w:pPr>
      <w:tabs>
        <w:tab w:val="right" w:leader="dot" w:pos="9072"/>
      </w:tabs>
      <w:spacing w:before="40" w:after="40"/>
      <w:ind w:left="284"/>
    </w:pPr>
    <w:rPr>
      <w:rFonts w:ascii="Times New Roman" w:hAnsi="Times New Roman"/>
    </w:rPr>
  </w:style>
  <w:style w:type="paragraph" w:styleId="TOC1">
    <w:name w:val="toc 1"/>
    <w:basedOn w:val="TOCBase"/>
    <w:next w:val="Normal"/>
    <w:rsid w:val="00572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AE3"/>
    <w:rPr>
      <w:rFonts w:ascii="Times New Roman" w:eastAsia="Times New Roman" w:hAnsi="Times New Roman" w:cs="Times New Roman"/>
      <w:sz w:val="16"/>
      <w:lang w:eastAsia="en-US"/>
    </w:rPr>
  </w:style>
  <w:style w:type="paragraph" w:styleId="Title">
    <w:name w:val="Title"/>
    <w:basedOn w:val="HeadingBase"/>
    <w:link w:val="TitleChar"/>
    <w:qFormat/>
    <w:rsid w:val="00572AE3"/>
    <w:pPr>
      <w:spacing w:before="5040"/>
      <w:jc w:val="center"/>
    </w:pPr>
    <w:rPr>
      <w:sz w:val="48"/>
      <w:szCs w:val="72"/>
      <w:lang w:val="en-US"/>
    </w:rPr>
  </w:style>
  <w:style w:type="character" w:customStyle="1" w:styleId="TitleChar">
    <w:name w:val="Title Char"/>
    <w:basedOn w:val="DefaultParagraphFont"/>
    <w:link w:val="Title"/>
    <w:rsid w:val="00572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AE3"/>
    <w:pPr>
      <w:tabs>
        <w:tab w:val="left" w:pos="3600"/>
        <w:tab w:val="left" w:pos="3958"/>
      </w:tabs>
    </w:pPr>
  </w:style>
  <w:style w:type="paragraph" w:styleId="List">
    <w:name w:val="List"/>
    <w:basedOn w:val="BodyText"/>
    <w:next w:val="BodyText"/>
    <w:rsid w:val="00572AE3"/>
    <w:pPr>
      <w:tabs>
        <w:tab w:val="left" w:pos="340"/>
      </w:tabs>
      <w:spacing w:before="60" w:after="60"/>
      <w:ind w:left="340" w:hanging="340"/>
    </w:pPr>
  </w:style>
  <w:style w:type="paragraph" w:customStyle="1" w:styleId="Note">
    <w:name w:val="Note"/>
    <w:basedOn w:val="BodyText"/>
    <w:rsid w:val="00572A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2AE3"/>
    <w:rPr>
      <w:b/>
      <w:spacing w:val="0"/>
    </w:rPr>
  </w:style>
  <w:style w:type="paragraph" w:customStyle="1" w:styleId="SuperTitle">
    <w:name w:val="SuperTitle"/>
    <w:basedOn w:val="Title"/>
    <w:rsid w:val="00572AE3"/>
    <w:pPr>
      <w:framePr w:wrap="auto" w:hAnchor="text" w:y="6049"/>
    </w:pPr>
    <w:rPr>
      <w:color w:val="000000"/>
      <w:sz w:val="40"/>
    </w:rPr>
  </w:style>
  <w:style w:type="paragraph" w:customStyle="1" w:styleId="TOCTitle">
    <w:name w:val="TOCTitle"/>
    <w:basedOn w:val="Heading1"/>
    <w:rsid w:val="00572AE3"/>
    <w:pPr>
      <w:spacing w:after="240"/>
      <w:jc w:val="center"/>
      <w:outlineLvl w:val="9"/>
    </w:pPr>
    <w:rPr>
      <w:caps/>
    </w:rPr>
  </w:style>
  <w:style w:type="paragraph" w:customStyle="1" w:styleId="Version">
    <w:name w:val="Version"/>
    <w:rsid w:val="00572A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AE3"/>
    <w:pPr>
      <w:keepNext w:val="0"/>
      <w:tabs>
        <w:tab w:val="right" w:pos="4176"/>
      </w:tabs>
      <w:ind w:left="198" w:hanging="198"/>
    </w:pPr>
    <w:rPr>
      <w:rFonts w:ascii="Garamond" w:hAnsi="Garamond"/>
    </w:rPr>
  </w:style>
  <w:style w:type="paragraph" w:styleId="IndexHeading">
    <w:name w:val="index heading"/>
    <w:basedOn w:val="Normal"/>
    <w:next w:val="Index1"/>
    <w:semiHidden/>
    <w:rsid w:val="00572AE3"/>
    <w:pPr>
      <w:spacing w:before="120" w:after="120"/>
    </w:pPr>
    <w:rPr>
      <w:rFonts w:ascii="Arial" w:hAnsi="Arial"/>
      <w:b/>
      <w:color w:val="918585"/>
      <w:sz w:val="24"/>
    </w:rPr>
  </w:style>
  <w:style w:type="paragraph" w:styleId="Header">
    <w:name w:val="header"/>
    <w:basedOn w:val="Normal"/>
    <w:link w:val="HeaderChar"/>
    <w:rsid w:val="00572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AE3"/>
    <w:rPr>
      <w:rFonts w:ascii="Times New Roman" w:eastAsia="Times New Roman" w:hAnsi="Times New Roman" w:cs="Times New Roman"/>
      <w:sz w:val="16"/>
      <w:szCs w:val="20"/>
      <w:lang w:val="en-GB" w:eastAsia="en-US"/>
    </w:rPr>
  </w:style>
  <w:style w:type="paragraph" w:customStyle="1" w:styleId="Chapter">
    <w:name w:val="Chapter"/>
    <w:basedOn w:val="Normal"/>
    <w:rsid w:val="00572AE3"/>
    <w:pPr>
      <w:spacing w:before="240"/>
    </w:pPr>
    <w:rPr>
      <w:rFonts w:ascii="Times New Roman" w:hAnsi="Times New Roman"/>
      <w:smallCaps/>
      <w:spacing w:val="80"/>
      <w:sz w:val="28"/>
    </w:rPr>
  </w:style>
  <w:style w:type="paragraph" w:customStyle="1" w:styleId="InChapter">
    <w:name w:val="InChapter"/>
    <w:basedOn w:val="Heading3"/>
    <w:rsid w:val="00572AE3"/>
    <w:pPr>
      <w:spacing w:after="240"/>
      <w:outlineLvl w:val="9"/>
    </w:pPr>
    <w:rPr>
      <w:noProof/>
    </w:rPr>
  </w:style>
  <w:style w:type="paragraph" w:styleId="Index2">
    <w:name w:val="index 2"/>
    <w:basedOn w:val="Normal"/>
    <w:next w:val="Normal"/>
    <w:semiHidden/>
    <w:rsid w:val="00572AE3"/>
    <w:pPr>
      <w:tabs>
        <w:tab w:val="right" w:pos="4176"/>
      </w:tabs>
      <w:ind w:left="568" w:hanging="284"/>
    </w:pPr>
    <w:rPr>
      <w:rFonts w:ascii="Garamond" w:hAnsi="Garamond"/>
    </w:rPr>
  </w:style>
  <w:style w:type="paragraph" w:customStyle="1" w:styleId="Byline">
    <w:name w:val="Byline"/>
    <w:rsid w:val="00572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AE3"/>
    <w:pPr>
      <w:tabs>
        <w:tab w:val="clear" w:pos="3600"/>
        <w:tab w:val="clear" w:pos="3958"/>
      </w:tabs>
      <w:jc w:val="right"/>
    </w:pPr>
  </w:style>
  <w:style w:type="character" w:styleId="Emphasis">
    <w:name w:val="Emphasis"/>
    <w:basedOn w:val="DefaultParagraphFont"/>
    <w:qFormat/>
    <w:rsid w:val="00572AE3"/>
    <w:rPr>
      <w:i/>
    </w:rPr>
  </w:style>
  <w:style w:type="paragraph" w:styleId="Caption">
    <w:name w:val="caption"/>
    <w:basedOn w:val="BodyText"/>
    <w:next w:val="Normal"/>
    <w:qFormat/>
    <w:rsid w:val="00572AE3"/>
    <w:pPr>
      <w:framePr w:w="2268" w:hSpace="181" w:vSpace="181" w:wrap="around" w:vAnchor="text" w:hAnchor="page" w:x="1135" w:y="285" w:anchorLock="1"/>
    </w:pPr>
    <w:rPr>
      <w:i/>
    </w:rPr>
  </w:style>
  <w:style w:type="paragraph" w:customStyle="1" w:styleId="MiniTOCTitle">
    <w:name w:val="MiniTOCTitle"/>
    <w:basedOn w:val="Heading4"/>
    <w:rsid w:val="00572AE3"/>
    <w:pPr>
      <w:spacing w:before="240"/>
      <w:outlineLvl w:val="9"/>
    </w:pPr>
    <w:rPr>
      <w:noProof/>
      <w:sz w:val="24"/>
    </w:rPr>
  </w:style>
  <w:style w:type="paragraph" w:customStyle="1" w:styleId="MiniTOCItem">
    <w:name w:val="MiniTOCItem"/>
    <w:basedOn w:val="ListBullet"/>
    <w:rsid w:val="00572AE3"/>
    <w:pPr>
      <w:numPr>
        <w:numId w:val="0"/>
      </w:numPr>
      <w:tabs>
        <w:tab w:val="right" w:leader="dot" w:pos="6521"/>
      </w:tabs>
      <w:spacing w:before="0" w:after="0"/>
    </w:pPr>
  </w:style>
  <w:style w:type="paragraph" w:customStyle="1" w:styleId="TOFTitle">
    <w:name w:val="TOFTitle"/>
    <w:basedOn w:val="TOCTitle"/>
    <w:rsid w:val="00572AE3"/>
  </w:style>
  <w:style w:type="paragraph" w:styleId="TableofFigures">
    <w:name w:val="table of figures"/>
    <w:basedOn w:val="Normal"/>
    <w:next w:val="Normal"/>
    <w:semiHidden/>
    <w:rsid w:val="00572AE3"/>
    <w:pPr>
      <w:tabs>
        <w:tab w:val="right" w:leader="dot" w:pos="9072"/>
      </w:tabs>
      <w:ind w:left="970" w:hanging="403"/>
    </w:pPr>
    <w:rPr>
      <w:rFonts w:ascii="Times New Roman" w:hAnsi="Times New Roman"/>
      <w:b/>
    </w:rPr>
  </w:style>
  <w:style w:type="paragraph" w:styleId="ListNumber">
    <w:name w:val="List Number"/>
    <w:basedOn w:val="List"/>
    <w:rsid w:val="00572AE3"/>
    <w:pPr>
      <w:numPr>
        <w:numId w:val="16"/>
      </w:numPr>
      <w:tabs>
        <w:tab w:val="clear" w:pos="340"/>
      </w:tabs>
    </w:pPr>
  </w:style>
  <w:style w:type="character" w:customStyle="1" w:styleId="WingdingSymbols">
    <w:name w:val="Wingding Symbols"/>
    <w:rsid w:val="00572AE3"/>
    <w:rPr>
      <w:rFonts w:ascii="Wingdings" w:hAnsi="Wingdings"/>
    </w:rPr>
  </w:style>
  <w:style w:type="paragraph" w:customStyle="1" w:styleId="TableHeading">
    <w:name w:val="Table Heading"/>
    <w:basedOn w:val="HeadingBase"/>
    <w:rsid w:val="00572AE3"/>
    <w:pPr>
      <w:keepLines/>
      <w:pBdr>
        <w:bottom w:val="single" w:sz="6" w:space="1" w:color="918585"/>
      </w:pBdr>
      <w:spacing w:before="240"/>
    </w:pPr>
  </w:style>
  <w:style w:type="character" w:customStyle="1" w:styleId="HotSpot">
    <w:name w:val="HotSpot"/>
    <w:rsid w:val="00572AE3"/>
    <w:rPr>
      <w:color w:val="0033CC"/>
      <w:u w:val="none"/>
    </w:rPr>
  </w:style>
  <w:style w:type="paragraph" w:customStyle="1" w:styleId="BodyTextRight">
    <w:name w:val="Body Text Right"/>
    <w:basedOn w:val="BodyText"/>
    <w:rsid w:val="00572AE3"/>
    <w:pPr>
      <w:spacing w:before="0" w:after="0"/>
      <w:jc w:val="right"/>
    </w:pPr>
  </w:style>
  <w:style w:type="paragraph" w:styleId="Index3">
    <w:name w:val="index 3"/>
    <w:basedOn w:val="ListNumber2"/>
    <w:next w:val="Normal"/>
    <w:semiHidden/>
    <w:rsid w:val="00572AE3"/>
    <w:pPr>
      <w:numPr>
        <w:numId w:val="0"/>
      </w:numPr>
      <w:tabs>
        <w:tab w:val="right" w:leader="dot" w:pos="4176"/>
      </w:tabs>
    </w:pPr>
  </w:style>
  <w:style w:type="paragraph" w:styleId="ListNumber2">
    <w:name w:val="List Number 2"/>
    <w:basedOn w:val="List2"/>
    <w:rsid w:val="00572AE3"/>
    <w:pPr>
      <w:numPr>
        <w:numId w:val="11"/>
      </w:numPr>
      <w:tabs>
        <w:tab w:val="clear" w:pos="1060"/>
      </w:tabs>
    </w:pPr>
  </w:style>
  <w:style w:type="paragraph" w:customStyle="1" w:styleId="MarginNote">
    <w:name w:val="Margin Note"/>
    <w:basedOn w:val="BodyText"/>
    <w:rsid w:val="00572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AE3"/>
    <w:rPr>
      <w:sz w:val="32"/>
    </w:rPr>
  </w:style>
  <w:style w:type="paragraph" w:customStyle="1" w:styleId="HeadingProcedure">
    <w:name w:val="Heading Procedure"/>
    <w:basedOn w:val="HeadingBase"/>
    <w:next w:val="Normal"/>
    <w:rsid w:val="00572AE3"/>
    <w:pPr>
      <w:tabs>
        <w:tab w:val="left" w:pos="0"/>
      </w:tabs>
      <w:spacing w:before="120" w:after="60"/>
    </w:pPr>
    <w:rPr>
      <w:i/>
      <w:color w:val="918585"/>
      <w:sz w:val="22"/>
    </w:rPr>
  </w:style>
  <w:style w:type="paragraph" w:customStyle="1" w:styleId="TableBodyText">
    <w:name w:val="Table Body Text"/>
    <w:basedOn w:val="BodyText"/>
    <w:rsid w:val="00572AE3"/>
    <w:pPr>
      <w:spacing w:before="60" w:after="60"/>
    </w:pPr>
  </w:style>
  <w:style w:type="paragraph" w:styleId="ListContinue">
    <w:name w:val="List Continue"/>
    <w:basedOn w:val="List"/>
    <w:rsid w:val="00572AE3"/>
    <w:pPr>
      <w:ind w:firstLine="0"/>
    </w:pPr>
  </w:style>
  <w:style w:type="paragraph" w:customStyle="1" w:styleId="ListNote">
    <w:name w:val="List Note"/>
    <w:basedOn w:val="List"/>
    <w:rsid w:val="00572AE3"/>
    <w:pPr>
      <w:pBdr>
        <w:top w:val="single" w:sz="6" w:space="2" w:color="918585"/>
        <w:bottom w:val="single" w:sz="6" w:space="2" w:color="918585"/>
      </w:pBdr>
      <w:tabs>
        <w:tab w:val="left" w:pos="1021"/>
      </w:tabs>
      <w:ind w:firstLine="0"/>
    </w:pPr>
  </w:style>
  <w:style w:type="paragraph" w:customStyle="1" w:styleId="Warning">
    <w:name w:val="Warning"/>
    <w:basedOn w:val="BodyText"/>
    <w:rsid w:val="00572AE3"/>
    <w:pPr>
      <w:shd w:val="clear" w:color="auto" w:fill="D9D9D9"/>
      <w:tabs>
        <w:tab w:val="left" w:pos="992"/>
      </w:tabs>
      <w:ind w:left="119" w:right="119"/>
    </w:pPr>
    <w:rPr>
      <w:sz w:val="20"/>
    </w:rPr>
  </w:style>
  <w:style w:type="paragraph" w:customStyle="1" w:styleId="MarginIcons">
    <w:name w:val="Margin Icons"/>
    <w:basedOn w:val="BodyText"/>
    <w:rsid w:val="00572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AE3"/>
    <w:rPr>
      <w:rFonts w:ascii="Courier New" w:hAnsi="Courier New"/>
    </w:rPr>
  </w:style>
  <w:style w:type="paragraph" w:customStyle="1" w:styleId="NoteBullet">
    <w:name w:val="Note Bullet"/>
    <w:basedOn w:val="Note"/>
    <w:rsid w:val="00572AE3"/>
    <w:pPr>
      <w:tabs>
        <w:tab w:val="clear" w:pos="680"/>
      </w:tabs>
      <w:spacing w:before="60" w:after="60"/>
    </w:pPr>
  </w:style>
  <w:style w:type="paragraph" w:customStyle="1" w:styleId="SubHeading2">
    <w:name w:val="SubHeading2"/>
    <w:basedOn w:val="HeadingBase"/>
    <w:rsid w:val="00572AE3"/>
    <w:pPr>
      <w:spacing w:before="240" w:after="60"/>
    </w:pPr>
    <w:rPr>
      <w:sz w:val="20"/>
    </w:rPr>
  </w:style>
  <w:style w:type="paragraph" w:customStyle="1" w:styleId="SubHeading1">
    <w:name w:val="SubHeading1"/>
    <w:basedOn w:val="HeadingBase"/>
    <w:rsid w:val="00572AE3"/>
    <w:pPr>
      <w:spacing w:before="240" w:after="60"/>
    </w:pPr>
    <w:rPr>
      <w:color w:val="918585"/>
      <w:sz w:val="22"/>
    </w:rPr>
  </w:style>
  <w:style w:type="paragraph" w:customStyle="1" w:styleId="SideHeading">
    <w:name w:val="Side Heading"/>
    <w:basedOn w:val="HeadingBase"/>
    <w:rsid w:val="00572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AE3"/>
    <w:pPr>
      <w:numPr>
        <w:numId w:val="12"/>
      </w:numPr>
    </w:pPr>
  </w:style>
  <w:style w:type="paragraph" w:styleId="PlainText">
    <w:name w:val="Plain Text"/>
    <w:basedOn w:val="Normal"/>
    <w:link w:val="PlainTextChar"/>
    <w:rsid w:val="00572AE3"/>
    <w:rPr>
      <w:sz w:val="20"/>
    </w:rPr>
  </w:style>
  <w:style w:type="character" w:customStyle="1" w:styleId="PlainTextChar">
    <w:name w:val="Plain Text Char"/>
    <w:basedOn w:val="DefaultParagraphFont"/>
    <w:link w:val="PlainText"/>
    <w:rsid w:val="00572AE3"/>
    <w:rPr>
      <w:rFonts w:ascii="Courier New" w:eastAsia="Times New Roman" w:hAnsi="Courier New" w:cs="Times New Roman"/>
      <w:sz w:val="20"/>
      <w:szCs w:val="20"/>
      <w:lang w:eastAsia="en-US"/>
    </w:rPr>
  </w:style>
  <w:style w:type="character" w:customStyle="1" w:styleId="MenuOption">
    <w:name w:val="Menu Option"/>
    <w:basedOn w:val="DefaultParagraphFont"/>
    <w:rsid w:val="00572AE3"/>
    <w:rPr>
      <w:b/>
      <w:smallCaps/>
    </w:rPr>
  </w:style>
  <w:style w:type="paragraph" w:customStyle="1" w:styleId="TableListNumber">
    <w:name w:val="Table List Number"/>
    <w:basedOn w:val="ListNumber"/>
    <w:rsid w:val="00572AE3"/>
    <w:pPr>
      <w:numPr>
        <w:numId w:val="0"/>
      </w:numPr>
    </w:pPr>
  </w:style>
  <w:style w:type="paragraph" w:styleId="TOC4">
    <w:name w:val="toc 4"/>
    <w:basedOn w:val="TOCBase"/>
    <w:next w:val="Normal"/>
    <w:semiHidden/>
    <w:rsid w:val="00572AE3"/>
    <w:pPr>
      <w:tabs>
        <w:tab w:val="right" w:leader="dot" w:pos="9071"/>
      </w:tabs>
      <w:ind w:left="1701"/>
    </w:pPr>
  </w:style>
  <w:style w:type="paragraph" w:customStyle="1" w:styleId="ListAlpha">
    <w:name w:val="List Alpha"/>
    <w:basedOn w:val="List"/>
    <w:rsid w:val="00572AE3"/>
    <w:pPr>
      <w:numPr>
        <w:numId w:val="10"/>
      </w:numPr>
    </w:pPr>
  </w:style>
  <w:style w:type="paragraph" w:customStyle="1" w:styleId="ListAlpha2">
    <w:name w:val="List Alpha 2"/>
    <w:basedOn w:val="List2"/>
    <w:rsid w:val="00572AE3"/>
    <w:pPr>
      <w:numPr>
        <w:numId w:val="9"/>
      </w:numPr>
    </w:pPr>
  </w:style>
  <w:style w:type="paragraph" w:styleId="List2">
    <w:name w:val="List 2"/>
    <w:basedOn w:val="BodyText"/>
    <w:rsid w:val="00572AE3"/>
    <w:pPr>
      <w:tabs>
        <w:tab w:val="left" w:pos="680"/>
      </w:tabs>
      <w:spacing w:before="60" w:after="60"/>
      <w:ind w:left="680" w:hanging="340"/>
    </w:pPr>
  </w:style>
  <w:style w:type="paragraph" w:styleId="List3">
    <w:name w:val="List 3"/>
    <w:basedOn w:val="BodyText"/>
    <w:rsid w:val="00572AE3"/>
    <w:pPr>
      <w:tabs>
        <w:tab w:val="left" w:pos="1021"/>
      </w:tabs>
      <w:spacing w:before="60" w:after="60"/>
      <w:ind w:left="1020" w:hanging="340"/>
    </w:pPr>
  </w:style>
  <w:style w:type="paragraph" w:styleId="List4">
    <w:name w:val="List 4"/>
    <w:basedOn w:val="BodyText"/>
    <w:rsid w:val="00572AE3"/>
    <w:pPr>
      <w:tabs>
        <w:tab w:val="left" w:pos="1361"/>
      </w:tabs>
      <w:spacing w:before="60" w:after="60"/>
      <w:ind w:left="1361" w:hanging="340"/>
    </w:pPr>
  </w:style>
  <w:style w:type="paragraph" w:styleId="List5">
    <w:name w:val="List 5"/>
    <w:basedOn w:val="BodyText"/>
    <w:rsid w:val="00572AE3"/>
    <w:pPr>
      <w:tabs>
        <w:tab w:val="left" w:pos="1701"/>
      </w:tabs>
      <w:spacing w:before="60" w:after="60"/>
      <w:ind w:left="1701" w:hanging="340"/>
    </w:pPr>
  </w:style>
  <w:style w:type="paragraph" w:styleId="ListBullet4">
    <w:name w:val="List Bullet 4"/>
    <w:basedOn w:val="List4"/>
    <w:rsid w:val="00572AE3"/>
    <w:pPr>
      <w:numPr>
        <w:numId w:val="4"/>
      </w:numPr>
      <w:tabs>
        <w:tab w:val="clear" w:pos="1361"/>
      </w:tabs>
    </w:pPr>
  </w:style>
  <w:style w:type="paragraph" w:styleId="ListBullet5">
    <w:name w:val="List Bullet 5"/>
    <w:basedOn w:val="List5"/>
    <w:rsid w:val="00572AE3"/>
    <w:pPr>
      <w:numPr>
        <w:numId w:val="5"/>
      </w:numPr>
    </w:pPr>
  </w:style>
  <w:style w:type="paragraph" w:styleId="ListContinue2">
    <w:name w:val="List Continue 2"/>
    <w:basedOn w:val="List2"/>
    <w:rsid w:val="00572AE3"/>
    <w:pPr>
      <w:ind w:firstLine="0"/>
    </w:pPr>
  </w:style>
  <w:style w:type="paragraph" w:styleId="ListContinue3">
    <w:name w:val="List Continue 3"/>
    <w:basedOn w:val="List3"/>
    <w:rsid w:val="00572AE3"/>
    <w:pPr>
      <w:ind w:left="1021" w:firstLine="0"/>
    </w:pPr>
  </w:style>
  <w:style w:type="paragraph" w:styleId="ListContinue4">
    <w:name w:val="List Continue 4"/>
    <w:basedOn w:val="List4"/>
    <w:rsid w:val="00572AE3"/>
    <w:pPr>
      <w:ind w:firstLine="0"/>
    </w:pPr>
  </w:style>
  <w:style w:type="paragraph" w:styleId="ListContinue5">
    <w:name w:val="List Continue 5"/>
    <w:basedOn w:val="List5"/>
    <w:rsid w:val="00572AE3"/>
    <w:pPr>
      <w:ind w:firstLine="0"/>
    </w:pPr>
  </w:style>
  <w:style w:type="paragraph" w:styleId="ListNumber3">
    <w:name w:val="List Number 3"/>
    <w:basedOn w:val="List3"/>
    <w:rsid w:val="00572AE3"/>
    <w:pPr>
      <w:numPr>
        <w:numId w:val="6"/>
      </w:numPr>
    </w:pPr>
  </w:style>
  <w:style w:type="paragraph" w:styleId="ListNumber4">
    <w:name w:val="List Number 4"/>
    <w:basedOn w:val="List4"/>
    <w:rsid w:val="00572AE3"/>
    <w:pPr>
      <w:numPr>
        <w:numId w:val="7"/>
      </w:numPr>
    </w:pPr>
  </w:style>
  <w:style w:type="paragraph" w:styleId="ListNumber5">
    <w:name w:val="List Number 5"/>
    <w:basedOn w:val="List5"/>
    <w:rsid w:val="00572AE3"/>
    <w:pPr>
      <w:numPr>
        <w:numId w:val="8"/>
      </w:numPr>
    </w:pPr>
  </w:style>
  <w:style w:type="paragraph" w:styleId="BlockText">
    <w:name w:val="Block Text"/>
    <w:basedOn w:val="Normal"/>
    <w:rsid w:val="00572AE3"/>
    <w:pPr>
      <w:spacing w:after="120"/>
      <w:ind w:left="1440" w:right="1440"/>
    </w:pPr>
  </w:style>
  <w:style w:type="character" w:customStyle="1" w:styleId="Subscript">
    <w:name w:val="Subscript"/>
    <w:basedOn w:val="DefaultParagraphFont"/>
    <w:rsid w:val="00572AE3"/>
    <w:rPr>
      <w:sz w:val="16"/>
      <w:vertAlign w:val="subscript"/>
    </w:rPr>
  </w:style>
  <w:style w:type="character" w:customStyle="1" w:styleId="Superscript">
    <w:name w:val="Superscript"/>
    <w:basedOn w:val="DefaultParagraphFont"/>
    <w:rsid w:val="00572AE3"/>
    <w:rPr>
      <w:sz w:val="16"/>
      <w:vertAlign w:val="superscript"/>
    </w:rPr>
  </w:style>
  <w:style w:type="character" w:customStyle="1" w:styleId="Symbols">
    <w:name w:val="Symbols"/>
    <w:basedOn w:val="DefaultParagraphFont"/>
    <w:rsid w:val="00572AE3"/>
    <w:rPr>
      <w:rFonts w:ascii="Symbol" w:hAnsi="Symbol"/>
    </w:rPr>
  </w:style>
  <w:style w:type="character" w:customStyle="1" w:styleId="MenuOptions">
    <w:name w:val="Menu Options"/>
    <w:basedOn w:val="DefaultParagraphFont"/>
    <w:rsid w:val="00572AE3"/>
    <w:rPr>
      <w:rFonts w:ascii="Arial Narrow" w:hAnsi="Arial Narrow"/>
      <w:smallCaps/>
    </w:rPr>
  </w:style>
  <w:style w:type="character" w:customStyle="1" w:styleId="Buttons">
    <w:name w:val="Buttons"/>
    <w:basedOn w:val="DefaultParagraphFont"/>
    <w:rsid w:val="00572AE3"/>
    <w:rPr>
      <w:b/>
    </w:rPr>
  </w:style>
  <w:style w:type="character" w:customStyle="1" w:styleId="Underlined">
    <w:name w:val="Underlined"/>
    <w:basedOn w:val="DefaultParagraphFont"/>
    <w:rsid w:val="00572AE3"/>
    <w:rPr>
      <w:u w:val="single"/>
    </w:rPr>
  </w:style>
  <w:style w:type="paragraph" w:customStyle="1" w:styleId="TableBodyTextRight">
    <w:name w:val="Table Body Text Right"/>
    <w:basedOn w:val="TableBodyText"/>
    <w:rsid w:val="00572AE3"/>
    <w:pPr>
      <w:widowControl w:val="0"/>
      <w:autoSpaceDE w:val="0"/>
      <w:autoSpaceDN w:val="0"/>
      <w:adjustRightInd w:val="0"/>
      <w:jc w:val="right"/>
    </w:pPr>
    <w:rPr>
      <w:rFonts w:cs="Arial"/>
      <w:szCs w:val="18"/>
    </w:rPr>
  </w:style>
  <w:style w:type="paragraph" w:customStyle="1" w:styleId="CopyrightText">
    <w:name w:val="Copyright Text"/>
    <w:basedOn w:val="BodyText"/>
    <w:rsid w:val="00572AE3"/>
    <w:rPr>
      <w:sz w:val="18"/>
    </w:rPr>
  </w:style>
  <w:style w:type="paragraph" w:customStyle="1" w:styleId="BodySmallRight">
    <w:name w:val="Body Small Right"/>
    <w:basedOn w:val="BodyTextRight"/>
    <w:rsid w:val="00572AE3"/>
    <w:rPr>
      <w:sz w:val="18"/>
      <w:szCs w:val="18"/>
    </w:rPr>
  </w:style>
  <w:style w:type="paragraph" w:customStyle="1" w:styleId="MarginEdition">
    <w:name w:val="Margin Edition"/>
    <w:basedOn w:val="MarginNote"/>
    <w:rsid w:val="00572AE3"/>
    <w:pPr>
      <w:spacing w:before="0" w:after="0"/>
    </w:pPr>
    <w:rPr>
      <w:rFonts w:ascii="Times New Roman" w:hAnsi="Times New Roman"/>
      <w:color w:val="999999"/>
    </w:rPr>
  </w:style>
  <w:style w:type="paragraph" w:customStyle="1" w:styleId="Spacer">
    <w:name w:val="Spacer"/>
    <w:basedOn w:val="Normal"/>
    <w:rsid w:val="00572AE3"/>
    <w:rPr>
      <w:sz w:val="2"/>
      <w:szCs w:val="2"/>
    </w:rPr>
  </w:style>
  <w:style w:type="character" w:customStyle="1" w:styleId="Small">
    <w:name w:val="Small"/>
    <w:basedOn w:val="DefaultParagraphFont"/>
    <w:rsid w:val="00572AE3"/>
    <w:rPr>
      <w:sz w:val="16"/>
    </w:rPr>
  </w:style>
  <w:style w:type="paragraph" w:customStyle="1" w:styleId="WideTable">
    <w:name w:val="Wide Table"/>
    <w:basedOn w:val="Normal"/>
    <w:rsid w:val="00572AE3"/>
    <w:pPr>
      <w:ind w:left="-1418"/>
    </w:pPr>
    <w:rPr>
      <w:sz w:val="2"/>
      <w:szCs w:val="2"/>
    </w:rPr>
  </w:style>
  <w:style w:type="character" w:styleId="PageNumber">
    <w:name w:val="page number"/>
    <w:basedOn w:val="DefaultParagraphFont"/>
    <w:rsid w:val="00572AE3"/>
  </w:style>
  <w:style w:type="paragraph" w:styleId="Quote">
    <w:name w:val="Quote"/>
    <w:basedOn w:val="Heading1"/>
    <w:link w:val="QuoteChar"/>
    <w:qFormat/>
    <w:rsid w:val="00572AE3"/>
    <w:rPr>
      <w:b w:val="0"/>
      <w:sz w:val="72"/>
      <w:szCs w:val="72"/>
      <w:lang w:val="en-NZ"/>
    </w:rPr>
  </w:style>
  <w:style w:type="character" w:customStyle="1" w:styleId="QuoteChar">
    <w:name w:val="Quote Char"/>
    <w:basedOn w:val="DefaultParagraphFont"/>
    <w:link w:val="Quote"/>
    <w:rsid w:val="00572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AE3"/>
    <w:pPr>
      <w:pageBreakBefore/>
    </w:pPr>
  </w:style>
  <w:style w:type="paragraph" w:customStyle="1" w:styleId="Border">
    <w:name w:val="Border"/>
    <w:basedOn w:val="Normal"/>
    <w:qFormat/>
    <w:rsid w:val="00572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AE3"/>
    <w:rPr>
      <w:b/>
      <w:bCs/>
      <w:i/>
      <w:iCs/>
      <w:color w:val="auto"/>
    </w:rPr>
  </w:style>
  <w:style w:type="paragraph" w:styleId="IntenseQuote">
    <w:name w:val="Intense Quote"/>
    <w:basedOn w:val="Normal"/>
    <w:next w:val="Normal"/>
    <w:link w:val="IntenseQuoteChar"/>
    <w:uiPriority w:val="30"/>
    <w:qFormat/>
    <w:rsid w:val="00572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AE3"/>
    <w:rPr>
      <w:smallCaps/>
      <w:color w:val="auto"/>
      <w:u w:val="single"/>
    </w:rPr>
  </w:style>
  <w:style w:type="character" w:styleId="IntenseReference">
    <w:name w:val="Intense Reference"/>
    <w:basedOn w:val="DefaultParagraphFont"/>
    <w:uiPriority w:val="32"/>
    <w:qFormat/>
    <w:rsid w:val="00572AE3"/>
    <w:rPr>
      <w:b/>
      <w:bCs/>
      <w:smallCaps/>
      <w:color w:val="auto"/>
      <w:spacing w:val="5"/>
      <w:u w:val="single"/>
    </w:rPr>
  </w:style>
  <w:style w:type="paragraph" w:customStyle="1" w:styleId="2ColumnHeading">
    <w:name w:val="2Column Heading"/>
    <w:basedOn w:val="BodyText"/>
    <w:qFormat/>
    <w:rsid w:val="00572AE3"/>
    <w:pPr>
      <w:spacing w:after="60"/>
      <w:ind w:left="-2268"/>
    </w:pPr>
    <w:rPr>
      <w:b/>
    </w:rPr>
  </w:style>
  <w:style w:type="paragraph" w:customStyle="1" w:styleId="Heading1TOC">
    <w:name w:val="Heading1 TOC"/>
    <w:basedOn w:val="Normal"/>
    <w:qFormat/>
    <w:rsid w:val="00572AE3"/>
    <w:pPr>
      <w:spacing w:before="240" w:after="120"/>
    </w:pPr>
    <w:rPr>
      <w:rFonts w:ascii="Times New Roman" w:hAnsi="Times New Roman"/>
      <w:b/>
      <w:sz w:val="32"/>
    </w:rPr>
  </w:style>
  <w:style w:type="paragraph" w:customStyle="1" w:styleId="Heading2TOC">
    <w:name w:val="Heading2 TOC"/>
    <w:basedOn w:val="Normal"/>
    <w:qFormat/>
    <w:rsid w:val="00572AE3"/>
    <w:pPr>
      <w:spacing w:before="240" w:after="60"/>
    </w:pPr>
    <w:rPr>
      <w:rFonts w:ascii="Times New Roman" w:hAnsi="Times New Roman"/>
      <w:b/>
      <w:sz w:val="28"/>
    </w:rPr>
  </w:style>
  <w:style w:type="character" w:customStyle="1" w:styleId="Underline">
    <w:name w:val="Underline"/>
    <w:basedOn w:val="DefaultParagraphFont"/>
    <w:qFormat/>
    <w:rsid w:val="00572AE3"/>
    <w:rPr>
      <w:u w:val="single"/>
    </w:rPr>
  </w:style>
  <w:style w:type="character" w:customStyle="1" w:styleId="BoldandItalics">
    <w:name w:val="Bold and Italics"/>
    <w:qFormat/>
    <w:rsid w:val="00572AE3"/>
    <w:rPr>
      <w:b/>
      <w:i/>
      <w:u w:val="none"/>
    </w:rPr>
  </w:style>
  <w:style w:type="paragraph" w:styleId="BalloonText">
    <w:name w:val="Balloon Text"/>
    <w:basedOn w:val="Normal"/>
    <w:link w:val="BalloonTextChar"/>
    <w:rsid w:val="00572AE3"/>
    <w:rPr>
      <w:rFonts w:ascii="Tahoma" w:hAnsi="Tahoma" w:cs="Tahoma"/>
      <w:sz w:val="16"/>
      <w:szCs w:val="16"/>
    </w:rPr>
  </w:style>
  <w:style w:type="character" w:customStyle="1" w:styleId="BalloonTextChar">
    <w:name w:val="Balloon Text Char"/>
    <w:basedOn w:val="DefaultParagraphFont"/>
    <w:link w:val="BalloonText"/>
    <w:rsid w:val="00572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A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AE3"/>
    <w:rPr>
      <w:b/>
      <w:color w:val="660033"/>
      <w:spacing w:val="0"/>
    </w:rPr>
  </w:style>
  <w:style w:type="paragraph" w:customStyle="1" w:styleId="Nameditemlist">
    <w:name w:val="Named item list"/>
    <w:basedOn w:val="BodyText"/>
    <w:qFormat/>
    <w:rsid w:val="00572AE3"/>
    <w:pPr>
      <w:tabs>
        <w:tab w:val="left" w:pos="2835"/>
      </w:tabs>
      <w:ind w:left="2835" w:hanging="2835"/>
    </w:pPr>
  </w:style>
  <w:style w:type="paragraph" w:customStyle="1" w:styleId="BodyTextnopadding">
    <w:name w:val="Body Text no padding"/>
    <w:basedOn w:val="BodyText"/>
    <w:qFormat/>
    <w:rsid w:val="00572AE3"/>
    <w:pPr>
      <w:spacing w:before="0" w:after="0"/>
    </w:pPr>
  </w:style>
  <w:style w:type="paragraph" w:customStyle="1" w:styleId="BodyTextBold">
    <w:name w:val="Body Text Bold"/>
    <w:basedOn w:val="BodyText"/>
    <w:qFormat/>
    <w:rsid w:val="00572AE3"/>
    <w:rPr>
      <w:b/>
    </w:rPr>
  </w:style>
  <w:style w:type="character" w:styleId="Hyperlink">
    <w:name w:val="Hyperlink"/>
    <w:basedOn w:val="DefaultParagraphFont"/>
    <w:uiPriority w:val="99"/>
    <w:unhideWhenUsed/>
    <w:rsid w:val="00793B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1145</Words>
  <Characters>7217</Characters>
  <Application>Microsoft Office Word</Application>
  <DocSecurity>0</DocSecurity>
  <Lines>180</Lines>
  <Paragraphs>121</Paragraphs>
  <ScaleCrop>false</ScaleCrop>
  <Company>Author-it Software Corporation Ltd.</Company>
  <LinksUpToDate>false</LinksUpToDate>
  <CharactersWithSpaces>8241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RIIMCU502D Implement the gas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2020-07-08T06:02:00Z</dcterms:created>
  <dcterms:modified xsi:type="dcterms:W3CDTF">2020-07-08T06:02:00Z</dcterms:modified>
</cp:coreProperties>
</file>