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D19" w:rsidP="00480D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RIIMCU405D Apply and monitor the outburst management plan</w:t>
      </w:r>
      <w:r>
        <w:fldChar w:fldCharType="end"/>
      </w:r>
    </w:p>
    <w:p w:rsidR="00480D19" w:rsidP="00480D19">
      <w:pPr>
        <w:pStyle w:val="Version"/>
        <w:sectPr w:rsidSect="002E10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10F0" w:rsidP="002E10F0">
      <w:pPr>
        <w:pStyle w:val="SuperHeading"/>
      </w:pPr>
      <w:r w:rsidRPr="002E10F0">
        <w:t>Assessment Requirements for RIIMCU405D Apply and monitor the outburst management plan</w:t>
      </w:r>
    </w:p>
    <w:p w:rsidR="00000000" w:rsidRPr="002E10F0" w:rsidP="002E10F0">
      <w:pPr>
        <w:pStyle w:val="Heading1"/>
      </w:pPr>
      <w:bookmarkStart w:id="1" w:name="O_689670"/>
      <w:bookmarkEnd w:id="1"/>
      <w:r w:rsidRPr="002E10F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80D1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0F0">
            <w:pPr>
              <w:pStyle w:val="BodyText"/>
              <w:rPr>
                <w:lang w:val="en-NZ"/>
              </w:rPr>
            </w:pPr>
            <w:r w:rsidRPr="002E10F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0F0">
            <w:pPr>
              <w:pStyle w:val="BodyText"/>
              <w:rPr>
                <w:lang w:val="en-NZ"/>
              </w:rPr>
            </w:pPr>
            <w:r w:rsidRPr="002E10F0">
              <w:t>Comment</w:t>
            </w:r>
          </w:p>
        </w:tc>
      </w:tr>
      <w:tr w:rsidTr="00480D1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0F0">
            <w:pPr>
              <w:pStyle w:val="BodyText"/>
              <w:rPr>
                <w:lang w:val="en-NZ"/>
              </w:rPr>
            </w:pPr>
            <w:r w:rsidRPr="002E10F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0F0">
            <w:pPr>
              <w:pStyle w:val="BodyText"/>
              <w:rPr>
                <w:lang w:val="en-NZ"/>
              </w:rPr>
            </w:pPr>
            <w:r w:rsidRPr="002E10F0">
              <w:t>This unit replaces RIIMCU405A Apply and monitor the outburst management plan</w:t>
            </w:r>
          </w:p>
        </w:tc>
      </w:tr>
      <w:tr w:rsidTr="00480D1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0F0">
            <w:pPr>
              <w:pStyle w:val="BodyText"/>
              <w:rPr>
                <w:lang w:val="en-NZ"/>
              </w:rPr>
            </w:pPr>
            <w:r w:rsidRPr="002E10F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0F0" w:rsidP="002E10F0">
            <w:pPr>
              <w:pStyle w:val="BodyText"/>
            </w:pPr>
            <w:r w:rsidRPr="002E10F0">
              <w:t>Required frequency and volume of evidence amended in Performance evidence.</w:t>
            </w:r>
            <w:r w:rsidRPr="002E10F0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2E10F0">
              <w:t>uld be conducted and what it should confirm.</w:t>
            </w:r>
          </w:p>
        </w:tc>
      </w:tr>
    </w:tbl>
    <w:p w:rsidR="00000000" w:rsidRPr="002E10F0" w:rsidP="002E10F0">
      <w:pPr>
        <w:pStyle w:val="BodyText"/>
      </w:pPr>
    </w:p>
    <w:p w:rsidR="00000000" w:rsidRPr="002E10F0" w:rsidP="002E10F0">
      <w:pPr>
        <w:pStyle w:val="AllowPageBreak"/>
      </w:pPr>
    </w:p>
    <w:p w:rsidR="00000000" w:rsidRPr="002E10F0" w:rsidP="002E10F0">
      <w:pPr>
        <w:pStyle w:val="Heading1"/>
      </w:pPr>
      <w:bookmarkStart w:id="2" w:name="O_689667"/>
      <w:bookmarkEnd w:id="2"/>
      <w:r w:rsidRPr="002E10F0">
        <w:t>Performance Evidence</w:t>
      </w:r>
    </w:p>
    <w:p w:rsidR="00000000" w:rsidRPr="002E10F0" w:rsidP="00480D19">
      <w:pPr>
        <w:pStyle w:val="BodyText"/>
      </w:pPr>
      <w:r w:rsidRPr="002E10F0">
        <w:t>Evidence is required to be collected that demonstrates a candidate’s competency in this unit. Evidence must be relevant to the roles within this sector’s work operations a</w:t>
      </w:r>
      <w:r w:rsidRPr="002E10F0">
        <w:t>nd satisfy all of the requirements of the performance criteria of this unit and include evidence that the candidate:</w:t>
      </w:r>
    </w:p>
    <w:p w:rsidR="00000000" w:rsidRPr="002E10F0" w:rsidP="002E10F0">
      <w:pPr>
        <w:pStyle w:val="ListBullet"/>
      </w:pPr>
      <w:r w:rsidRPr="002E10F0">
        <w:t>locates and applies relevant legislation, documentation, policies and procedures</w:t>
      </w:r>
    </w:p>
    <w:p w:rsidR="00000000" w:rsidRPr="002E10F0" w:rsidP="002E10F0">
      <w:pPr>
        <w:pStyle w:val="ListBullet2"/>
      </w:pPr>
      <w:r w:rsidRPr="002E10F0">
        <w:t>implements the requirements, procedures and techniques for the safe, effective and efficient completion of the application and monitoring of the outburst management plan including:</w:t>
      </w:r>
    </w:p>
    <w:p w:rsidR="00000000" w:rsidRPr="002E10F0" w:rsidP="002E10F0">
      <w:pPr>
        <w:pStyle w:val="ListBullet2"/>
      </w:pPr>
      <w:r w:rsidRPr="002E10F0">
        <w:t xml:space="preserve">accessing and interpreting design criteria for outburst management systems </w:t>
      </w:r>
      <w:r w:rsidRPr="002E10F0">
        <w:t>and devices</w:t>
      </w:r>
    </w:p>
    <w:p w:rsidR="00000000" w:rsidRPr="002E10F0" w:rsidP="002E10F0">
      <w:pPr>
        <w:pStyle w:val="ListBullet2"/>
      </w:pPr>
      <w:r w:rsidRPr="002E10F0">
        <w:t xml:space="preserve">operating hand held monitoring equipment </w:t>
      </w:r>
    </w:p>
    <w:p w:rsidR="00000000" w:rsidRPr="002E10F0" w:rsidP="002E10F0">
      <w:pPr>
        <w:pStyle w:val="ListBullet2"/>
      </w:pPr>
      <w:r w:rsidRPr="002E10F0">
        <w:t>accessing and interpreting data from monitoring systems and equipment</w:t>
      </w:r>
    </w:p>
    <w:p w:rsidR="00000000" w:rsidRPr="002E10F0" w:rsidP="002E10F0">
      <w:pPr>
        <w:pStyle w:val="ListBullet2"/>
      </w:pPr>
      <w:r w:rsidRPr="002E10F0">
        <w:t>interpreting computer spreadsheets and outburst modelling / simulations</w:t>
      </w:r>
    </w:p>
    <w:p w:rsidR="00000000" w:rsidRPr="002E10F0" w:rsidP="002E10F0">
      <w:pPr>
        <w:pStyle w:val="ListBullet2"/>
      </w:pPr>
      <w:r w:rsidRPr="002E10F0">
        <w:t xml:space="preserve">accessing and interpreting archival and historical outburst </w:t>
      </w:r>
      <w:r w:rsidRPr="002E10F0">
        <w:t>information related to the mine</w:t>
      </w:r>
    </w:p>
    <w:p w:rsidR="00000000" w:rsidRPr="002E10F0" w:rsidP="002E10F0">
      <w:pPr>
        <w:pStyle w:val="ListBullet2"/>
      </w:pPr>
      <w:r w:rsidRPr="002E10F0">
        <w:t>interpreting outburst training requirement</w:t>
      </w:r>
    </w:p>
    <w:p w:rsidR="00000000" w:rsidRPr="002E10F0" w:rsidP="002E10F0">
      <w:pPr>
        <w:pStyle w:val="ListBullet"/>
      </w:pPr>
      <w:r w:rsidRPr="002E10F0">
        <w:t>works effectively with others to plan, prepare and conduct the application and monitoring of the outburst management plan including:</w:t>
      </w:r>
    </w:p>
    <w:p w:rsidR="00000000" w:rsidRPr="002E10F0" w:rsidP="002E10F0">
      <w:pPr>
        <w:pStyle w:val="ListBullet2"/>
      </w:pPr>
      <w:r w:rsidRPr="002E10F0">
        <w:t>organising work activities to meet all task re</w:t>
      </w:r>
      <w:r w:rsidRPr="002E10F0">
        <w:t>quirements</w:t>
      </w:r>
    </w:p>
    <w:p w:rsidR="00000000" w:rsidRPr="002E10F0" w:rsidP="002E10F0">
      <w:pPr>
        <w:pStyle w:val="ListBullet2"/>
      </w:pPr>
      <w:r w:rsidRPr="002E10F0">
        <w:t>communicating clearly and concisely with others to receive and clarify work instructions</w:t>
      </w:r>
    </w:p>
    <w:p w:rsidR="00000000" w:rsidRPr="002E10F0" w:rsidP="002E10F0">
      <w:pPr>
        <w:pStyle w:val="ListBullet2"/>
      </w:pPr>
      <w:r w:rsidRPr="002E10F0">
        <w:t>complying with written and verbal reporting requirements and procedures</w:t>
      </w:r>
    </w:p>
    <w:p w:rsidR="00000000" w:rsidRPr="002E10F0" w:rsidP="002E10F0">
      <w:pPr>
        <w:pStyle w:val="ListBullet2"/>
      </w:pPr>
      <w:r w:rsidRPr="002E10F0">
        <w:t>resolving coordination requirements throughout work activities</w:t>
      </w:r>
    </w:p>
    <w:p w:rsidR="00000000" w:rsidRPr="002E10F0" w:rsidP="002E10F0">
      <w:pPr>
        <w:pStyle w:val="ListBullet"/>
      </w:pPr>
      <w:r w:rsidRPr="002E10F0">
        <w:t>demonstrates complet</w:t>
      </w:r>
      <w:r w:rsidRPr="002E10F0">
        <w:t>ion of applying and monitoring the outburst management plan that safely, effectively and efficiently meets all of the required outcomes on more than one (1) occasion including:</w:t>
      </w:r>
    </w:p>
    <w:p w:rsidR="00000000" w:rsidRPr="002E10F0" w:rsidP="002E10F0">
      <w:pPr>
        <w:pStyle w:val="ListBullet2"/>
      </w:pPr>
      <w:r w:rsidRPr="002E10F0">
        <w:t>applying outburst mining management plans procedures for maintaining a safe en</w:t>
      </w:r>
      <w:r w:rsidRPr="002E10F0">
        <w:t>vironment including:</w:t>
      </w:r>
    </w:p>
    <w:p w:rsidR="00000000" w:rsidRPr="002E10F0" w:rsidP="002E10F0">
      <w:pPr>
        <w:pStyle w:val="ListBullet3"/>
      </w:pPr>
      <w:r w:rsidRPr="002E10F0">
        <w:t>hazard identification and quantification</w:t>
      </w:r>
    </w:p>
    <w:p w:rsidR="00000000" w:rsidRPr="002E10F0" w:rsidP="002E10F0">
      <w:pPr>
        <w:pStyle w:val="ListBullet3"/>
      </w:pPr>
      <w:r w:rsidRPr="002E10F0">
        <w:t>risk assessment</w:t>
      </w:r>
    </w:p>
    <w:p w:rsidR="00000000" w:rsidRPr="002E10F0" w:rsidP="002E10F0">
      <w:pPr>
        <w:pStyle w:val="ListBullet3"/>
      </w:pPr>
      <w:r w:rsidRPr="002E10F0">
        <w:t>authority and responsibility</w:t>
      </w:r>
    </w:p>
    <w:p w:rsidR="00000000" w:rsidRPr="002E10F0" w:rsidP="002E10F0">
      <w:pPr>
        <w:pStyle w:val="ListBullet3"/>
      </w:pPr>
      <w:r w:rsidRPr="002E10F0">
        <w:t>controls established to manage identified risks</w:t>
      </w:r>
    </w:p>
    <w:p w:rsidR="00000000" w:rsidRPr="002E10F0" w:rsidP="002E10F0">
      <w:pPr>
        <w:pStyle w:val="ListBullet3"/>
      </w:pPr>
      <w:r w:rsidRPr="002E10F0">
        <w:t>reporting and communication</w:t>
      </w:r>
    </w:p>
    <w:p w:rsidR="00000000" w:rsidRPr="002E10F0" w:rsidP="002E10F0">
      <w:pPr>
        <w:pStyle w:val="ListBullet3"/>
      </w:pPr>
      <w:r w:rsidRPr="002E10F0">
        <w:t xml:space="preserve">document control </w:t>
      </w:r>
    </w:p>
    <w:p w:rsidR="00000000" w:rsidRPr="002E10F0" w:rsidP="002E10F0">
      <w:pPr>
        <w:pStyle w:val="ListBullet3"/>
      </w:pPr>
      <w:r w:rsidRPr="002E10F0">
        <w:t>audit and review</w:t>
      </w:r>
    </w:p>
    <w:p w:rsidR="00000000" w:rsidRPr="002E10F0" w:rsidP="002E10F0">
      <w:pPr>
        <w:pStyle w:val="ListBullet2"/>
      </w:pPr>
      <w:r w:rsidRPr="002E10F0">
        <w:t>applying mine atmosphere monitoring methods such as:</w:t>
      </w:r>
    </w:p>
    <w:p w:rsidR="00000000" w:rsidRPr="002E10F0" w:rsidP="002E10F0">
      <w:pPr>
        <w:pStyle w:val="ListBullet3"/>
      </w:pPr>
      <w:r w:rsidRPr="002E10F0">
        <w:t>continuous monitoring</w:t>
      </w:r>
    </w:p>
    <w:p w:rsidR="00000000" w:rsidRPr="002E10F0" w:rsidP="002E10F0">
      <w:pPr>
        <w:pStyle w:val="ListBullet3"/>
      </w:pPr>
      <w:r w:rsidRPr="002E10F0">
        <w:t>portable (hand held) monitoring</w:t>
      </w:r>
    </w:p>
    <w:p w:rsidR="00000000" w:rsidRPr="002E10F0" w:rsidP="002E10F0">
      <w:pPr>
        <w:pStyle w:val="ListBullet3"/>
      </w:pPr>
      <w:r w:rsidRPr="002E10F0">
        <w:t>collection of bag samples</w:t>
      </w:r>
    </w:p>
    <w:p w:rsidR="00000000" w:rsidRPr="002E10F0" w:rsidP="002E10F0">
      <w:pPr>
        <w:pStyle w:val="ListBullet3"/>
      </w:pPr>
      <w:r w:rsidRPr="002E10F0">
        <w:t>gas chromatography</w:t>
      </w:r>
    </w:p>
    <w:p w:rsidR="00000000" w:rsidRPr="002E10F0" w:rsidP="002E10F0">
      <w:pPr>
        <w:pStyle w:val="ListBullet3"/>
      </w:pPr>
      <w:r w:rsidRPr="002E10F0">
        <w:t>ventilation measurements from all areas of the mine, including sealed area and waste workings</w:t>
      </w:r>
    </w:p>
    <w:p w:rsidR="00000000" w:rsidRPr="002E10F0" w:rsidP="002E10F0">
      <w:pPr>
        <w:pStyle w:val="AllowPageBreak"/>
      </w:pPr>
    </w:p>
    <w:p w:rsidR="00000000" w:rsidRPr="002E10F0" w:rsidP="002E10F0">
      <w:pPr>
        <w:pStyle w:val="Heading1"/>
      </w:pPr>
      <w:bookmarkStart w:id="3" w:name="O_689665"/>
      <w:bookmarkEnd w:id="3"/>
      <w:r w:rsidRPr="002E10F0">
        <w:t>Knowledge Evidence</w:t>
      </w:r>
    </w:p>
    <w:p w:rsidR="00000000" w:rsidRPr="002E10F0" w:rsidP="00480D19">
      <w:pPr>
        <w:pStyle w:val="BodyText"/>
      </w:pPr>
      <w:r w:rsidRPr="002E10F0">
        <w:t>The candidate must demonstrate knowledge of applying and monitoring the outburst management plan through:</w:t>
      </w:r>
    </w:p>
    <w:p w:rsidR="00000000" w:rsidRPr="002E10F0" w:rsidP="002E10F0">
      <w:pPr>
        <w:pStyle w:val="ListBullet2"/>
      </w:pPr>
      <w:r w:rsidRPr="002E10F0">
        <w:t>accessing, interpreting and applying legislative, organization and site requirements and procedures for:</w:t>
      </w:r>
    </w:p>
    <w:p w:rsidR="00000000" w:rsidRPr="002E10F0" w:rsidP="002E10F0">
      <w:pPr>
        <w:pStyle w:val="ListBullet3"/>
      </w:pPr>
      <w:r w:rsidRPr="002E10F0">
        <w:t>developing the r</w:t>
      </w:r>
      <w:r w:rsidRPr="002E10F0">
        <w:t>equirements and processes of the outburst management plan</w:t>
      </w:r>
    </w:p>
    <w:p w:rsidR="00000000" w:rsidRPr="002E10F0" w:rsidP="002E10F0">
      <w:pPr>
        <w:pStyle w:val="ListBullet3"/>
      </w:pPr>
      <w:r w:rsidRPr="002E10F0">
        <w:t>applying risk assessment and management processes</w:t>
      </w:r>
    </w:p>
    <w:p w:rsidR="00000000" w:rsidRPr="002E10F0" w:rsidP="002E10F0">
      <w:pPr>
        <w:pStyle w:val="ListBullet3"/>
      </w:pPr>
      <w:r w:rsidRPr="002E10F0">
        <w:t>identifying and managing environmental issues, hazards and risks</w:t>
      </w:r>
    </w:p>
    <w:p w:rsidR="00000000" w:rsidRPr="002E10F0" w:rsidP="002E10F0">
      <w:pPr>
        <w:pStyle w:val="ListBullet3"/>
      </w:pPr>
      <w:r w:rsidRPr="002E10F0">
        <w:t>conducting audit and review processes and techniques</w:t>
      </w:r>
    </w:p>
    <w:p w:rsidR="00000000" w:rsidRPr="002E10F0" w:rsidP="002E10F0">
      <w:pPr>
        <w:pStyle w:val="ListBullet2"/>
      </w:pPr>
      <w:r w:rsidRPr="002E10F0">
        <w:t>applying legislative and stat</w:t>
      </w:r>
      <w:r w:rsidRPr="002E10F0">
        <w:t>utory requirements for planning and design of mining structures, including: mine plans, ventilation, gas monitoring, strata support and safety management plans</w:t>
      </w:r>
    </w:p>
    <w:p w:rsidR="00000000" w:rsidRPr="002E10F0" w:rsidP="002E10F0">
      <w:pPr>
        <w:pStyle w:val="ListBullet2"/>
      </w:pPr>
      <w:r w:rsidRPr="002E10F0">
        <w:t>identifying the systems of mining including:</w:t>
      </w:r>
    </w:p>
    <w:p w:rsidR="00000000" w:rsidRPr="002E10F0" w:rsidP="002E10F0">
      <w:pPr>
        <w:pStyle w:val="ListBullet3"/>
      </w:pPr>
      <w:r>
        <w:t>•</w:t>
      </w:r>
      <w:r>
        <w:tab/>
      </w:r>
      <w:r w:rsidRPr="002E10F0">
        <w:t>tunnels, drifts, stone drivage, shaft sinking, pi</w:t>
      </w:r>
      <w:r w:rsidRPr="002E10F0">
        <w:t>llar extraction, partial extraction, punch mining and fault drivage</w:t>
      </w:r>
    </w:p>
    <w:p w:rsidR="00000000" w:rsidRPr="002E10F0" w:rsidP="002E10F0">
      <w:pPr>
        <w:pStyle w:val="ListBullet2"/>
      </w:pPr>
      <w:r w:rsidRPr="002E10F0">
        <w:t>identifying systems of work: including bord and pillar, place changing, longwall, highwall, auger mining, pillar extension, partial extension and punch mining</w:t>
      </w:r>
    </w:p>
    <w:p w:rsidR="00000000" w:rsidRPr="002E10F0" w:rsidP="002E10F0">
      <w:pPr>
        <w:pStyle w:val="ListBullet2"/>
      </w:pPr>
      <w:r w:rsidRPr="002E10F0">
        <w:t>identifying factors affectin</w:t>
      </w:r>
      <w:r w:rsidRPr="002E10F0">
        <w:t>g stability of mining structures including:</w:t>
      </w:r>
    </w:p>
    <w:p w:rsidR="00000000" w:rsidRPr="002E10F0" w:rsidP="002E10F0">
      <w:pPr>
        <w:pStyle w:val="ListBullet3"/>
      </w:pPr>
      <w:r w:rsidRPr="002E10F0">
        <w:t>stress analysis: including mining induced stress and topography</w:t>
      </w:r>
    </w:p>
    <w:p w:rsidR="00000000" w:rsidRPr="002E10F0" w:rsidP="002E10F0">
      <w:pPr>
        <w:pStyle w:val="ListBullet3"/>
      </w:pPr>
      <w:r w:rsidRPr="002E10F0">
        <w:t>sedimentology: including subsidence, water bearing strata, permeability of seam and strata, hydrology, physical property testing, caving characteristics, windblast, outburst, gas content and over and underlying strata</w:t>
      </w:r>
    </w:p>
    <w:p w:rsidR="00000000" w:rsidRPr="002E10F0" w:rsidP="002E10F0">
      <w:pPr>
        <w:pStyle w:val="ListBullet3"/>
      </w:pPr>
      <w:r w:rsidRPr="002E10F0">
        <w:t>mining structure failure modes</w:t>
      </w:r>
    </w:p>
    <w:p w:rsidR="00000000" w:rsidRPr="002E10F0" w:rsidP="002E10F0">
      <w:pPr>
        <w:pStyle w:val="ListBullet2"/>
      </w:pPr>
      <w:r w:rsidRPr="002E10F0">
        <w:t>identi</w:t>
      </w:r>
      <w:r w:rsidRPr="002E10F0">
        <w:t>fying the mining and general engineering principles relevant to the behaviour of excavations in rock including:</w:t>
      </w:r>
    </w:p>
    <w:p w:rsidR="00000000" w:rsidRPr="002E10F0" w:rsidP="002E10F0">
      <w:pPr>
        <w:pStyle w:val="ListBullet3"/>
      </w:pPr>
      <w:r w:rsidRPr="002E10F0">
        <w:t>geology, hydrogeology, lithology and strata gas characteristics</w:t>
      </w:r>
    </w:p>
    <w:p w:rsidR="00000000" w:rsidRPr="002E10F0" w:rsidP="002E10F0">
      <w:pPr>
        <w:pStyle w:val="ListBullet3"/>
      </w:pPr>
      <w:r w:rsidRPr="002E10F0">
        <w:t>ground support systems</w:t>
      </w:r>
    </w:p>
    <w:p w:rsidR="00000000" w:rsidRPr="002E10F0" w:rsidP="002E10F0">
      <w:pPr>
        <w:pStyle w:val="ListBullet3"/>
      </w:pPr>
      <w:r w:rsidRPr="002E10F0">
        <w:t>audit methodologies</w:t>
      </w:r>
    </w:p>
    <w:p w:rsidR="00000000" w:rsidRPr="002E10F0" w:rsidP="002E10F0">
      <w:pPr>
        <w:pStyle w:val="ListBullet3"/>
      </w:pPr>
      <w:r w:rsidRPr="002E10F0">
        <w:t>geotechnical engineering</w:t>
      </w:r>
    </w:p>
    <w:p w:rsidR="00000000" w:rsidRPr="002E10F0" w:rsidP="002E10F0">
      <w:pPr>
        <w:pStyle w:val="ListBullet3"/>
      </w:pPr>
      <w:r w:rsidRPr="002E10F0">
        <w:t xml:space="preserve">excavation </w:t>
      </w:r>
      <w:r w:rsidRPr="002E10F0">
        <w:t>engineering</w:t>
      </w:r>
    </w:p>
    <w:p w:rsidR="00000000" w:rsidRPr="002E10F0" w:rsidP="002E10F0">
      <w:pPr>
        <w:pStyle w:val="ListBullet3"/>
      </w:pPr>
      <w:r w:rsidRPr="002E10F0">
        <w:t>tunnel engineering and shaft sinking</w:t>
      </w:r>
    </w:p>
    <w:p w:rsidR="00000000" w:rsidRPr="002E10F0" w:rsidP="002E10F0">
      <w:pPr>
        <w:pStyle w:val="ListBullet3"/>
      </w:pPr>
      <w:r w:rsidRPr="002E10F0">
        <w:t>rock mechanics</w:t>
      </w:r>
    </w:p>
    <w:p w:rsidR="00000000" w:rsidRPr="002E10F0" w:rsidP="002E10F0">
      <w:pPr>
        <w:pStyle w:val="ListBullet3"/>
      </w:pPr>
      <w:r w:rsidRPr="002E10F0">
        <w:t>mine surveying</w:t>
      </w:r>
    </w:p>
    <w:p w:rsidR="00000000" w:rsidRPr="002E10F0" w:rsidP="002E10F0">
      <w:pPr>
        <w:pStyle w:val="ListBullet3"/>
      </w:pPr>
      <w:r w:rsidRPr="002E10F0">
        <w:t>mining of coal deposits</w:t>
      </w:r>
    </w:p>
    <w:p w:rsidR="00000000" w:rsidRPr="002E10F0" w:rsidP="002E10F0">
      <w:pPr>
        <w:pStyle w:val="ListBullet3"/>
      </w:pPr>
      <w:r w:rsidRPr="002E10F0">
        <w:t>thermodynamics</w:t>
      </w:r>
    </w:p>
    <w:p w:rsidR="00000000" w:rsidRPr="002E10F0" w:rsidP="002E10F0">
      <w:pPr>
        <w:pStyle w:val="ListBullet3"/>
      </w:pPr>
      <w:r w:rsidRPr="002E10F0">
        <w:t>exploration techniques</w:t>
      </w:r>
    </w:p>
    <w:p w:rsidR="00000000" w:rsidRPr="002E10F0" w:rsidP="002E10F0">
      <w:pPr>
        <w:pStyle w:val="ListBullet2"/>
      </w:pPr>
      <w:r w:rsidRPr="002E10F0">
        <w:t>identifying the impact of differing geological features and conditions on outburst including:</w:t>
      </w:r>
    </w:p>
    <w:p w:rsidR="00000000" w:rsidRPr="002E10F0" w:rsidP="002E10F0">
      <w:pPr>
        <w:pStyle w:val="ListBullet3"/>
      </w:pPr>
      <w:r>
        <w:t>•</w:t>
      </w:r>
      <w:r>
        <w:tab/>
      </w:r>
      <w:r w:rsidRPr="002E10F0">
        <w:t>faults, dykes, intrusions and strata deformities</w:t>
      </w:r>
    </w:p>
    <w:p w:rsidR="00000000" w:rsidRPr="002E10F0" w:rsidP="002E10F0">
      <w:pPr>
        <w:pStyle w:val="ListBullet3"/>
      </w:pPr>
      <w:r w:rsidRPr="002E10F0">
        <w:t>mine gases: the types and their characteristics, sources, physiological effects and methods of detection</w:t>
      </w:r>
    </w:p>
    <w:p w:rsidR="00000000" w:rsidRPr="002E10F0" w:rsidP="002E10F0">
      <w:pPr>
        <w:pStyle w:val="ListBullet3"/>
      </w:pPr>
      <w:r w:rsidRPr="002E10F0">
        <w:t>de-gassing: methods of control, including brattice, auxiliary fans, compressed air venturis, sails, h</w:t>
      </w:r>
      <w:r w:rsidRPr="002E10F0">
        <w:t>urdles and bleeders</w:t>
      </w:r>
    </w:p>
    <w:p w:rsidR="00000000" w:rsidRPr="002E10F0" w:rsidP="002E10F0">
      <w:pPr>
        <w:pStyle w:val="ListBullet3"/>
      </w:pPr>
      <w:r w:rsidRPr="002E10F0">
        <w:t>the effects of coal seam characteristics on outburst</w:t>
      </w:r>
    </w:p>
    <w:p w:rsidR="00000000" w:rsidRPr="002E10F0" w:rsidP="002E10F0">
      <w:pPr>
        <w:pStyle w:val="ListBullet2"/>
      </w:pPr>
      <w:r w:rsidRPr="002E10F0">
        <w:t>identifying and using monitoring systems and techniques including:</w:t>
      </w:r>
    </w:p>
    <w:p w:rsidR="00000000" w:rsidRPr="002E10F0" w:rsidP="002E10F0">
      <w:pPr>
        <w:pStyle w:val="ListBullet3"/>
      </w:pPr>
      <w:r w:rsidRPr="002E10F0">
        <w:t>fixed monitoring systems: types, uses/limitations, design criteria, specifications and design processes</w:t>
      </w:r>
    </w:p>
    <w:p w:rsidR="00000000" w:rsidRPr="002E10F0" w:rsidP="002E10F0">
      <w:pPr>
        <w:pStyle w:val="ListBullet3"/>
      </w:pPr>
      <w:r w:rsidRPr="002E10F0">
        <w:t>portable m</w:t>
      </w:r>
      <w:r w:rsidRPr="002E10F0">
        <w:t>onitoring equipment: types, uses/limitations</w:t>
      </w:r>
    </w:p>
    <w:p w:rsidR="00000000" w:rsidRPr="002E10F0" w:rsidP="002E10F0">
      <w:pPr>
        <w:pStyle w:val="ListBullet3"/>
      </w:pPr>
      <w:r w:rsidRPr="002E10F0">
        <w:t>computer-based systems for outburst analysis</w:t>
      </w:r>
    </w:p>
    <w:p w:rsidR="00000000" w:rsidRPr="002E10F0" w:rsidP="002E10F0">
      <w:pPr>
        <w:pStyle w:val="ListBullet3"/>
      </w:pPr>
      <w:r w:rsidRPr="002E10F0">
        <w:t>outburst indicators and ratios</w:t>
      </w:r>
    </w:p>
    <w:p w:rsidR="00000000" w:rsidRPr="002E10F0" w:rsidP="002E10F0">
      <w:pPr>
        <w:pStyle w:val="ListBullet3"/>
      </w:pPr>
      <w:r w:rsidRPr="002E10F0">
        <w:t>methods of control of outburst</w:t>
      </w:r>
    </w:p>
    <w:p w:rsidR="00000000" w:rsidRPr="002E10F0" w:rsidP="002E10F0">
      <w:pPr>
        <w:pStyle w:val="ListBullet3"/>
      </w:pPr>
      <w:r w:rsidRPr="002E10F0">
        <w:t>processes and techniques for determining alarms and trigger points/levels</w:t>
      </w:r>
    </w:p>
    <w:p w:rsidR="00000000" w:rsidRPr="002E10F0" w:rsidP="002E10F0">
      <w:pPr>
        <w:pStyle w:val="ListBullet3"/>
      </w:pPr>
      <w:r w:rsidRPr="002E10F0">
        <w:t>identifying and applying emerg</w:t>
      </w:r>
      <w:r w:rsidRPr="002E10F0">
        <w:t>ency response and evacuation/disaster planning processes and techniques</w:t>
      </w:r>
    </w:p>
    <w:p w:rsidR="00000000" w:rsidRPr="002E10F0" w:rsidP="002E10F0">
      <w:pPr>
        <w:pStyle w:val="AllowPageBreak"/>
      </w:pPr>
    </w:p>
    <w:p w:rsidR="00000000" w:rsidRPr="002E10F0" w:rsidP="002E10F0">
      <w:pPr>
        <w:pStyle w:val="Heading1"/>
      </w:pPr>
      <w:bookmarkStart w:id="4" w:name="O_689663"/>
      <w:bookmarkEnd w:id="4"/>
      <w:r w:rsidRPr="002E10F0">
        <w:t>Assessment Conditions</w:t>
      </w:r>
    </w:p>
    <w:p w:rsidR="00000000" w:rsidRPr="002E10F0" w:rsidP="002E10F0">
      <w:pPr>
        <w:pStyle w:val="ListBullet"/>
      </w:pPr>
      <w:r w:rsidRPr="002E10F0">
        <w:t xml:space="preserve">An assessor of this unit must satisfy the requirements of the NVR/AQTF or their successors; </w:t>
      </w:r>
      <w:r w:rsidRPr="002E10F0">
        <w:t xml:space="preserve">and Industry regulations for certification and licensing; and, </w:t>
      </w:r>
    </w:p>
    <w:p w:rsidR="00000000" w:rsidRPr="002E10F0" w:rsidP="002E10F0">
      <w:pPr>
        <w:pStyle w:val="ListBullet"/>
      </w:pPr>
      <w:r w:rsidRPr="002E10F0">
        <w:t>this unit must be assessed in the context of this sector’s work environment; and,</w:t>
      </w:r>
    </w:p>
    <w:p w:rsidR="00000000" w:rsidRPr="002E10F0" w:rsidP="002E10F0">
      <w:pPr>
        <w:pStyle w:val="ListBullet"/>
      </w:pPr>
      <w:r w:rsidRPr="002E10F0">
        <w:t xml:space="preserve">this unit must be assessed in compliance with relevant legislation/regulation and using policies, procedures, </w:t>
      </w:r>
      <w:r w:rsidRPr="002E10F0">
        <w:t>processes and operational manuals directly related to the industry sector for which it is being assessed; and,</w:t>
      </w:r>
    </w:p>
    <w:p w:rsidR="00000000" w:rsidRPr="002E10F0" w:rsidP="002E10F0">
      <w:pPr>
        <w:pStyle w:val="ListBullet"/>
      </w:pPr>
      <w:r w:rsidRPr="002E10F0">
        <w:t>assessment may be conducted in conjunction with the assessment of other Units of Competency; and,</w:t>
      </w:r>
    </w:p>
    <w:p w:rsidR="00000000" w:rsidRPr="002E10F0" w:rsidP="002E10F0">
      <w:pPr>
        <w:pStyle w:val="ListBullet"/>
      </w:pPr>
      <w:r w:rsidRPr="002E10F0">
        <w:t xml:space="preserve">assessment must confirm consistent performance </w:t>
      </w:r>
      <w:r w:rsidRPr="002E10F0">
        <w:t>can be applied in a range of relevant workplace circumstances; and,</w:t>
      </w:r>
    </w:p>
    <w:p w:rsidR="00000000" w:rsidRPr="002E10F0" w:rsidP="002E10F0">
      <w:pPr>
        <w:pStyle w:val="ListBullet"/>
      </w:pPr>
      <w:r w:rsidRPr="002E10F0">
        <w:t>assessors must demonstrate the performance evidence, and knowledge evidence as outlined in this Unit of Competency, and through the minimum years of current* work experience specified belo</w:t>
      </w:r>
      <w:r w:rsidRPr="002E10F0">
        <w:t>w in an Industry sector relevant to the outcomes of the unit; or,</w:t>
      </w:r>
    </w:p>
    <w:p w:rsidR="00000000" w:rsidRPr="002E10F0" w:rsidP="002E10F0">
      <w:pPr>
        <w:pStyle w:val="ListBullet"/>
      </w:pPr>
      <w:r w:rsidRPr="002E10F0">
        <w:t>where the assessor does not meet experience requirements a co-assessment or partnership arrangement must exist between the qualified assessor and an Industry subject matter expert. The Indus</w:t>
      </w:r>
      <w:r w:rsidRPr="002E10F0">
        <w:t>try subject matter expert should hold the unit being assessed (or an equivalent unit) and/or demonstrate equivalence of skills and knowledge at the unit level. An Industry technical expert must also demonstrate skills and knowledge from the minimum years o</w:t>
      </w:r>
      <w:r w:rsidRPr="002E10F0">
        <w:t>f current work experience specified below in the Industry sector, including time spent in roles related to the unit being assessed; and,</w:t>
      </w:r>
    </w:p>
    <w:p w:rsidR="00000000" w:rsidRPr="002E10F0" w:rsidP="002E10F0">
      <w:pPr>
        <w:pStyle w:val="ListBullet"/>
      </w:pPr>
      <w:r w:rsidRPr="002E10F0">
        <w:t>assessor and Industry subject matter expert requirements differ depending on the Australian Qualifications Framework Le</w:t>
      </w:r>
      <w:r w:rsidRPr="002E10F0">
        <w:t>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E10F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0F0">
            <w:pPr>
              <w:pStyle w:val="BodyText"/>
              <w:rPr>
                <w:lang w:val="en-NZ"/>
              </w:rPr>
            </w:pPr>
            <w:r w:rsidRPr="002E10F0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0F0">
            <w:pPr>
              <w:pStyle w:val="BodyText"/>
              <w:rPr>
                <w:lang w:val="en-NZ"/>
              </w:rPr>
            </w:pPr>
            <w:r w:rsidRPr="002E10F0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0F0">
            <w:pPr>
              <w:pStyle w:val="BodyText"/>
              <w:rPr>
                <w:lang w:val="en-NZ"/>
              </w:rPr>
            </w:pPr>
            <w:r w:rsidRPr="002E10F0">
              <w:t>Required assessor or Industry subject matter expert experience</w:t>
            </w:r>
          </w:p>
        </w:tc>
      </w:tr>
      <w:tr w:rsidTr="002E10F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0F0">
            <w:pPr>
              <w:pStyle w:val="BodyText"/>
              <w:rPr>
                <w:lang w:val="en-NZ"/>
              </w:rPr>
            </w:pPr>
            <w:r w:rsidRPr="002E10F0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0F0">
            <w:pPr>
              <w:pStyle w:val="BodyText"/>
              <w:rPr>
                <w:lang w:val="en-NZ"/>
              </w:rPr>
            </w:pPr>
            <w:r w:rsidRPr="002E10F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0F0">
            <w:pPr>
              <w:pStyle w:val="BodyText"/>
              <w:rPr>
                <w:lang w:val="en-NZ"/>
              </w:rPr>
            </w:pPr>
            <w:r w:rsidRPr="002E10F0">
              <w:t>1 Year</w:t>
            </w:r>
          </w:p>
        </w:tc>
      </w:tr>
      <w:tr w:rsidTr="002E10F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0F0">
            <w:pPr>
              <w:pStyle w:val="BodyText"/>
              <w:rPr>
                <w:lang w:val="en-NZ"/>
              </w:rPr>
            </w:pPr>
            <w:r w:rsidRPr="002E10F0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0F0">
            <w:pPr>
              <w:pStyle w:val="BodyText"/>
              <w:rPr>
                <w:lang w:val="en-NZ"/>
              </w:rPr>
            </w:pPr>
            <w:r w:rsidRPr="002E10F0">
              <w:t>2 Years</w:t>
            </w:r>
          </w:p>
        </w:tc>
      </w:tr>
      <w:tr w:rsidTr="002E10F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0F0">
            <w:pPr>
              <w:pStyle w:val="BodyText"/>
              <w:rPr>
                <w:lang w:val="en-NZ"/>
              </w:rPr>
            </w:pPr>
            <w:r w:rsidRPr="002E10F0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0F0">
            <w:pPr>
              <w:pStyle w:val="BodyText"/>
              <w:rPr>
                <w:lang w:val="en-NZ"/>
              </w:rPr>
            </w:pPr>
            <w:r w:rsidRPr="002E10F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0F0">
            <w:pPr>
              <w:pStyle w:val="BodyText"/>
              <w:rPr>
                <w:lang w:val="en-NZ"/>
              </w:rPr>
            </w:pPr>
            <w:r w:rsidRPr="002E10F0">
              <w:t>3 Years</w:t>
            </w:r>
          </w:p>
        </w:tc>
      </w:tr>
      <w:tr w:rsidTr="002E10F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0F0">
            <w:pPr>
              <w:pStyle w:val="BodyText"/>
              <w:rPr>
                <w:lang w:val="en-NZ"/>
              </w:rPr>
            </w:pPr>
            <w:r w:rsidRPr="002E10F0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0F0">
            <w:pPr>
              <w:pStyle w:val="BodyText"/>
              <w:rPr>
                <w:lang w:val="en-NZ"/>
              </w:rPr>
            </w:pPr>
            <w:r w:rsidRPr="002E10F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0F0">
            <w:pPr>
              <w:pStyle w:val="BodyText"/>
              <w:rPr>
                <w:lang w:val="en-NZ"/>
              </w:rPr>
            </w:pPr>
            <w:r w:rsidRPr="002E10F0">
              <w:t>5 Years</w:t>
            </w:r>
          </w:p>
        </w:tc>
      </w:tr>
      <w:tr w:rsidTr="002E10F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0F0">
            <w:pPr>
              <w:pStyle w:val="BodyText"/>
              <w:rPr>
                <w:lang w:val="en-NZ"/>
              </w:rPr>
            </w:pPr>
            <w:r w:rsidRPr="002E10F0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E10F0" w:rsidP="002E10F0">
            <w:pPr>
              <w:pStyle w:val="BodyText"/>
            </w:pPr>
            <w:r w:rsidRPr="002E10F0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2E10F0">
              <w:t>ndard is specified should comply with any relevant regulation.</w:t>
            </w:r>
          </w:p>
        </w:tc>
      </w:tr>
    </w:tbl>
    <w:p w:rsidR="00000000" w:rsidRPr="002E10F0" w:rsidP="00480D19">
      <w:pPr>
        <w:pStyle w:val="BodyText"/>
      </w:pPr>
      <w:r w:rsidRPr="002E10F0">
        <w:t>*Assessors can demonstrate current work experience through employment within Industry in a role relevant to the outcomes of the Unit; or, for external assessors this can be demonstrated throu</w:t>
      </w:r>
      <w:r w:rsidRPr="002E10F0">
        <w:t>gh exposure to Industry by conducting frequent site assessments across various locations.</w:t>
      </w:r>
    </w:p>
    <w:p w:rsidR="00000000" w:rsidRPr="002E10F0" w:rsidP="00480D19">
      <w:pPr>
        <w:pStyle w:val="BodyText"/>
      </w:pPr>
      <w:r w:rsidRPr="002E10F0">
        <w:t>**Where a unit is being delivered outside of a Qualification the first numeric character in the Unit code should be considered to indicate the AQF level</w:t>
      </w:r>
    </w:p>
    <w:p w:rsidR="00000000" w:rsidRPr="002E10F0" w:rsidP="002E10F0">
      <w:pPr>
        <w:pStyle w:val="Heading1"/>
      </w:pPr>
      <w:bookmarkStart w:id="5" w:name="O_689682"/>
      <w:bookmarkEnd w:id="5"/>
      <w:r w:rsidRPr="002E10F0">
        <w:t>Links</w:t>
      </w:r>
    </w:p>
    <w:p w:rsidR="00000000" w:rsidRPr="002E10F0" w:rsidP="00480D19">
      <w:pPr>
        <w:pStyle w:val="BodyText"/>
      </w:pPr>
      <w:r w:rsidRPr="002E10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E06E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E10F0" w:rsidP="002E10F0"/>
    <w:sectPr w:rsidSect="002E10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0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0F0" w:rsidRPr="00480D19" w:rsidP="00480D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0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19" w:rsidP="002E10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0D19" w:rsidP="002E10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0D19" w:rsidP="002E10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0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0F0" w:rsidRPr="00480D19" w:rsidP="00480D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0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19" w:rsidRPr="002D2AF8" w:rsidP="002E10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RIIMCU405D Apply and monitor the outburst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80D19" w:rsidP="002E10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80B5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9A6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2E3F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0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0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0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0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0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0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0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0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0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0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0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0F0"/>
  </w:style>
  <w:style w:type="character" w:customStyle="1" w:styleId="Heading1Char">
    <w:name w:val="Heading 1 Char"/>
    <w:basedOn w:val="DefaultParagraphFont"/>
    <w:link w:val="Heading1"/>
    <w:rsid w:val="002E10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0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0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0F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10F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10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0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E10F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E10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0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0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0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0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0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0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0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0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0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0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0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0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0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0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0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0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0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0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0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10F0"/>
    <w:rPr>
      <w:b/>
      <w:spacing w:val="0"/>
    </w:rPr>
  </w:style>
  <w:style w:type="paragraph" w:customStyle="1" w:styleId="SuperTitle">
    <w:name w:val="SuperTitle"/>
    <w:basedOn w:val="Title"/>
    <w:rsid w:val="002E10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0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0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10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0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0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0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0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0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0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0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0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0F0"/>
    <w:rPr>
      <w:i/>
    </w:rPr>
  </w:style>
  <w:style w:type="paragraph" w:styleId="Caption">
    <w:name w:val="caption"/>
    <w:basedOn w:val="BodyText"/>
    <w:next w:val="Normal"/>
    <w:qFormat/>
    <w:rsid w:val="002E10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0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0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0F0"/>
  </w:style>
  <w:style w:type="paragraph" w:styleId="TableofFigures">
    <w:name w:val="table of figures"/>
    <w:basedOn w:val="Normal"/>
    <w:next w:val="Normal"/>
    <w:semiHidden/>
    <w:rsid w:val="002E10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0F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E10F0"/>
    <w:rPr>
      <w:rFonts w:ascii="Wingdings" w:hAnsi="Wingdings"/>
    </w:rPr>
  </w:style>
  <w:style w:type="paragraph" w:customStyle="1" w:styleId="TableHeading">
    <w:name w:val="Table Heading"/>
    <w:basedOn w:val="HeadingBase"/>
    <w:rsid w:val="002E10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0F0"/>
    <w:rPr>
      <w:color w:val="0033CC"/>
      <w:u w:val="none"/>
    </w:rPr>
  </w:style>
  <w:style w:type="paragraph" w:customStyle="1" w:styleId="BodyTextRight">
    <w:name w:val="Body Text Right"/>
    <w:basedOn w:val="BodyText"/>
    <w:rsid w:val="002E10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0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0F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0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0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0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0F0"/>
    <w:rPr>
      <w:sz w:val="32"/>
    </w:rPr>
  </w:style>
  <w:style w:type="paragraph" w:customStyle="1" w:styleId="HeadingProcedure">
    <w:name w:val="Heading Procedure"/>
    <w:basedOn w:val="HeadingBase"/>
    <w:next w:val="Normal"/>
    <w:rsid w:val="002E10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0F0"/>
    <w:pPr>
      <w:spacing w:before="60" w:after="60"/>
    </w:pPr>
  </w:style>
  <w:style w:type="paragraph" w:styleId="ListContinue">
    <w:name w:val="List Continue"/>
    <w:basedOn w:val="List"/>
    <w:rsid w:val="002E10F0"/>
    <w:pPr>
      <w:ind w:firstLine="0"/>
    </w:pPr>
  </w:style>
  <w:style w:type="paragraph" w:customStyle="1" w:styleId="ListNote">
    <w:name w:val="List Note"/>
    <w:basedOn w:val="List"/>
    <w:rsid w:val="002E10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0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0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0F0"/>
    <w:rPr>
      <w:rFonts w:ascii="Courier New" w:hAnsi="Courier New"/>
    </w:rPr>
  </w:style>
  <w:style w:type="paragraph" w:customStyle="1" w:styleId="NoteBullet">
    <w:name w:val="Note Bullet"/>
    <w:basedOn w:val="Note"/>
    <w:rsid w:val="002E10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0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0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0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0F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10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0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0F0"/>
    <w:rPr>
      <w:b/>
      <w:smallCaps/>
    </w:rPr>
  </w:style>
  <w:style w:type="paragraph" w:customStyle="1" w:styleId="TableListNumber">
    <w:name w:val="Table List Number"/>
    <w:basedOn w:val="ListNumber"/>
    <w:rsid w:val="002E10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0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0F0"/>
    <w:pPr>
      <w:numPr>
        <w:numId w:val="10"/>
      </w:numPr>
    </w:pPr>
  </w:style>
  <w:style w:type="paragraph" w:customStyle="1" w:styleId="ListAlpha2">
    <w:name w:val="List Alpha 2"/>
    <w:basedOn w:val="List2"/>
    <w:rsid w:val="002E10F0"/>
    <w:pPr>
      <w:numPr>
        <w:numId w:val="9"/>
      </w:numPr>
    </w:pPr>
  </w:style>
  <w:style w:type="paragraph" w:styleId="List2">
    <w:name w:val="List 2"/>
    <w:basedOn w:val="BodyText"/>
    <w:rsid w:val="002E10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0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0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0F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E10F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E10F0"/>
    <w:pPr>
      <w:numPr>
        <w:numId w:val="5"/>
      </w:numPr>
    </w:pPr>
  </w:style>
  <w:style w:type="paragraph" w:styleId="ListContinue2">
    <w:name w:val="List Continue 2"/>
    <w:basedOn w:val="List2"/>
    <w:rsid w:val="002E10F0"/>
    <w:pPr>
      <w:ind w:firstLine="0"/>
    </w:pPr>
  </w:style>
  <w:style w:type="paragraph" w:styleId="ListContinue3">
    <w:name w:val="List Continue 3"/>
    <w:basedOn w:val="List3"/>
    <w:rsid w:val="002E10F0"/>
    <w:pPr>
      <w:ind w:left="1021" w:firstLine="0"/>
    </w:pPr>
  </w:style>
  <w:style w:type="paragraph" w:styleId="ListContinue4">
    <w:name w:val="List Continue 4"/>
    <w:basedOn w:val="List4"/>
    <w:rsid w:val="002E10F0"/>
    <w:pPr>
      <w:ind w:firstLine="0"/>
    </w:pPr>
  </w:style>
  <w:style w:type="paragraph" w:styleId="ListContinue5">
    <w:name w:val="List Continue 5"/>
    <w:basedOn w:val="List5"/>
    <w:rsid w:val="002E10F0"/>
    <w:pPr>
      <w:ind w:firstLine="0"/>
    </w:pPr>
  </w:style>
  <w:style w:type="paragraph" w:styleId="ListNumber3">
    <w:name w:val="List Number 3"/>
    <w:basedOn w:val="List3"/>
    <w:rsid w:val="002E10F0"/>
    <w:pPr>
      <w:numPr>
        <w:numId w:val="6"/>
      </w:numPr>
    </w:pPr>
  </w:style>
  <w:style w:type="paragraph" w:styleId="ListNumber4">
    <w:name w:val="List Number 4"/>
    <w:basedOn w:val="List4"/>
    <w:rsid w:val="002E10F0"/>
    <w:pPr>
      <w:numPr>
        <w:numId w:val="7"/>
      </w:numPr>
    </w:pPr>
  </w:style>
  <w:style w:type="paragraph" w:styleId="ListNumber5">
    <w:name w:val="List Number 5"/>
    <w:basedOn w:val="List5"/>
    <w:rsid w:val="002E10F0"/>
    <w:pPr>
      <w:numPr>
        <w:numId w:val="8"/>
      </w:numPr>
    </w:pPr>
  </w:style>
  <w:style w:type="paragraph" w:styleId="BlockText">
    <w:name w:val="Block Text"/>
    <w:basedOn w:val="Normal"/>
    <w:rsid w:val="002E10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0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0F0"/>
    <w:rPr>
      <w:sz w:val="16"/>
      <w:vertAlign w:val="superscript"/>
    </w:rPr>
  </w:style>
  <w:style w:type="character" w:customStyle="1" w:styleId="Symbols">
    <w:name w:val="Symbols"/>
    <w:basedOn w:val="DefaultParagraphFont"/>
    <w:rsid w:val="002E10F0"/>
    <w:rPr>
      <w:rFonts w:ascii="Symbol" w:hAnsi="Symbol"/>
    </w:rPr>
  </w:style>
  <w:style w:type="character" w:customStyle="1" w:styleId="MenuOptions">
    <w:name w:val="Menu Options"/>
    <w:basedOn w:val="DefaultParagraphFont"/>
    <w:rsid w:val="002E10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0F0"/>
    <w:rPr>
      <w:b/>
    </w:rPr>
  </w:style>
  <w:style w:type="character" w:customStyle="1" w:styleId="Underlined">
    <w:name w:val="Underlined"/>
    <w:basedOn w:val="DefaultParagraphFont"/>
    <w:rsid w:val="002E10F0"/>
    <w:rPr>
      <w:u w:val="single"/>
    </w:rPr>
  </w:style>
  <w:style w:type="paragraph" w:customStyle="1" w:styleId="TableBodyTextRight">
    <w:name w:val="Table Body Text Right"/>
    <w:basedOn w:val="TableBodyText"/>
    <w:rsid w:val="002E10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0F0"/>
    <w:rPr>
      <w:sz w:val="18"/>
    </w:rPr>
  </w:style>
  <w:style w:type="paragraph" w:customStyle="1" w:styleId="BodySmallRight">
    <w:name w:val="Body Small Right"/>
    <w:basedOn w:val="BodyTextRight"/>
    <w:rsid w:val="002E10F0"/>
    <w:rPr>
      <w:sz w:val="18"/>
      <w:szCs w:val="18"/>
    </w:rPr>
  </w:style>
  <w:style w:type="paragraph" w:customStyle="1" w:styleId="MarginEdition">
    <w:name w:val="Margin Edition"/>
    <w:basedOn w:val="MarginNote"/>
    <w:rsid w:val="002E10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0F0"/>
    <w:rPr>
      <w:sz w:val="2"/>
      <w:szCs w:val="2"/>
    </w:rPr>
  </w:style>
  <w:style w:type="character" w:customStyle="1" w:styleId="Small">
    <w:name w:val="Small"/>
    <w:basedOn w:val="DefaultParagraphFont"/>
    <w:rsid w:val="002E10F0"/>
    <w:rPr>
      <w:sz w:val="16"/>
    </w:rPr>
  </w:style>
  <w:style w:type="paragraph" w:customStyle="1" w:styleId="WideTable">
    <w:name w:val="Wide Table"/>
    <w:basedOn w:val="Normal"/>
    <w:rsid w:val="002E10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0F0"/>
  </w:style>
  <w:style w:type="paragraph" w:styleId="Quote">
    <w:name w:val="Quote"/>
    <w:basedOn w:val="Heading1"/>
    <w:link w:val="QuoteChar"/>
    <w:qFormat/>
    <w:rsid w:val="002E10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0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0F0"/>
    <w:pPr>
      <w:pageBreakBefore/>
    </w:pPr>
  </w:style>
  <w:style w:type="paragraph" w:customStyle="1" w:styleId="Border">
    <w:name w:val="Border"/>
    <w:basedOn w:val="Normal"/>
    <w:qFormat/>
    <w:rsid w:val="002E10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0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0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0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0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0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0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0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0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0F0"/>
    <w:rPr>
      <w:u w:val="single"/>
    </w:rPr>
  </w:style>
  <w:style w:type="character" w:customStyle="1" w:styleId="BoldandItalics">
    <w:name w:val="Bold and Italics"/>
    <w:qFormat/>
    <w:rsid w:val="002E10F0"/>
    <w:rPr>
      <w:b/>
      <w:i/>
      <w:u w:val="none"/>
    </w:rPr>
  </w:style>
  <w:style w:type="paragraph" w:styleId="BalloonText">
    <w:name w:val="Balloon Text"/>
    <w:basedOn w:val="Normal"/>
    <w:link w:val="BalloonTextChar"/>
    <w:rsid w:val="002E10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0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0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0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0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0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0F0"/>
    <w:pPr>
      <w:spacing w:before="0" w:after="0"/>
    </w:pPr>
  </w:style>
  <w:style w:type="paragraph" w:customStyle="1" w:styleId="BodyTextBold">
    <w:name w:val="Body Text Bold"/>
    <w:basedOn w:val="BodyText"/>
    <w:qFormat/>
    <w:rsid w:val="002E10F0"/>
    <w:rPr>
      <w:b/>
    </w:rPr>
  </w:style>
  <w:style w:type="character" w:styleId="Hyperlink">
    <w:name w:val="Hyperlink"/>
    <w:basedOn w:val="DefaultParagraphFont"/>
    <w:uiPriority w:val="99"/>
    <w:unhideWhenUsed/>
    <w:rsid w:val="00480D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1131</Words>
  <Characters>7459</Characters>
  <Application>Microsoft Office Word</Application>
  <DocSecurity>0</DocSecurity>
  <Lines>186</Lines>
  <Paragraphs>126</Paragraphs>
  <ScaleCrop>false</ScaleCrop>
  <Company>Author-it Software Corporation Ltd.</Company>
  <LinksUpToDate>false</LinksUpToDate>
  <CharactersWithSpaces>8464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RIIMCU405D Apply and monitor the outburst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2022-10-18T13:53:00Z</dcterms:created>
  <dcterms:modified xsi:type="dcterms:W3CDTF">2022-10-18T13:53:00Z</dcterms:modified>
</cp:coreProperties>
</file>