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E0107" w:rsidP="00AE0107">
      <w:pPr>
        <w:pStyle w:val="Title"/>
      </w:pPr>
      <w:r>
        <w:fldChar w:fldCharType="begin"/>
      </w:r>
      <w:r>
        <w:instrText xml:space="preserve"> TITLE   \* MERGEFORMAT </w:instrText>
      </w:r>
      <w:r>
        <w:fldChar w:fldCharType="separate"/>
      </w:r>
      <w:r>
        <w:t>RIIMCU311D Monitor control processes</w:t>
      </w:r>
      <w:r>
        <w:fldChar w:fldCharType="end"/>
      </w:r>
    </w:p>
    <w:p w:rsidR="00AE0107" w:rsidP="00AE0107">
      <w:pPr>
        <w:pStyle w:val="Version"/>
        <w:sectPr w:rsidSect="006C16F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6C16FC" w:rsidP="006C16FC">
      <w:pPr>
        <w:pStyle w:val="SuperHeading"/>
      </w:pPr>
      <w:r w:rsidRPr="006C16FC">
        <w:t>RIIMCU311D Monitor control processes</w:t>
      </w:r>
    </w:p>
    <w:p w:rsidR="00000000" w:rsidRPr="006C16FC" w:rsidP="006C16FC">
      <w:pPr>
        <w:pStyle w:val="Heading1"/>
      </w:pPr>
      <w:bookmarkStart w:id="1" w:name="O_689498"/>
      <w:bookmarkEnd w:id="1"/>
      <w:r w:rsidRPr="006C16FC">
        <w:t>Modification History</w:t>
      </w:r>
    </w:p>
    <w:tbl>
      <w:tblPr>
        <w:tblW w:w="0" w:type="auto"/>
        <w:tblCellMar>
          <w:left w:w="62" w:type="dxa"/>
          <w:right w:w="62" w:type="dxa"/>
        </w:tblCellMar>
        <w:tblLook w:val="0000"/>
      </w:tblPr>
      <w:tblGrid>
        <w:gridCol w:w="968"/>
        <w:gridCol w:w="8228"/>
      </w:tblGrid>
      <w:tr w:rsidTr="00AE0107">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16FC">
            <w:pPr>
              <w:pStyle w:val="BodyText"/>
              <w:rPr>
                <w:lang w:val="en-NZ"/>
              </w:rPr>
            </w:pPr>
            <w:r w:rsidRPr="006C16FC">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16FC">
            <w:pPr>
              <w:pStyle w:val="BodyText"/>
              <w:rPr>
                <w:lang w:val="en-NZ"/>
              </w:rPr>
            </w:pPr>
            <w:r w:rsidRPr="006C16FC">
              <w:t>Comment</w:t>
            </w:r>
          </w:p>
        </w:tc>
      </w:tr>
      <w:tr w:rsidTr="00AE0107">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16FC">
            <w:pPr>
              <w:pStyle w:val="BodyText"/>
              <w:rPr>
                <w:lang w:val="en-NZ"/>
              </w:rPr>
            </w:pPr>
            <w:r w:rsidRPr="006C16FC">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16FC">
            <w:pPr>
              <w:pStyle w:val="BodyText"/>
              <w:rPr>
                <w:lang w:val="en-NZ"/>
              </w:rPr>
            </w:pPr>
            <w:r w:rsidRPr="006C16FC">
              <w:t>This unit replaces RIIMCU311A Monitor control processes</w:t>
            </w:r>
          </w:p>
        </w:tc>
      </w:tr>
      <w:tr w:rsidTr="00AE0107">
        <w:tblPrEx>
          <w:tblW w:w="0" w:type="auto"/>
          <w:tblCellMar>
            <w:left w:w="62" w:type="dxa"/>
            <w:right w:w="62" w:type="dxa"/>
          </w:tblCellMar>
          <w:tblLook w:val="0000"/>
        </w:tblPrEx>
        <w:trPr>
          <w:trHeight w:val="507"/>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16FC">
            <w:pPr>
              <w:pStyle w:val="BodyText"/>
              <w:rPr>
                <w:lang w:val="en-NZ"/>
              </w:rPr>
            </w:pPr>
            <w:r w:rsidRPr="006C16FC">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16FC">
            <w:pPr>
              <w:pStyle w:val="BodyText"/>
              <w:rPr>
                <w:lang w:val="en-NZ"/>
              </w:rPr>
            </w:pPr>
            <w:r w:rsidRPr="006C16FC">
              <w:t>Inserted missing Assessment Conditions</w:t>
            </w:r>
          </w:p>
        </w:tc>
      </w:tr>
      <w:tr w:rsidTr="00AE0107">
        <w:tblPrEx>
          <w:tblW w:w="0" w:type="auto"/>
          <w:tblCellMar>
            <w:left w:w="62" w:type="dxa"/>
            <w:right w:w="62" w:type="dxa"/>
          </w:tblCellMar>
          <w:tblLook w:val="0000"/>
        </w:tblPrEx>
        <w:trPr>
          <w:trHeight w:val="897"/>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16FC">
            <w:pPr>
              <w:pStyle w:val="BodyText"/>
              <w:rPr>
                <w:lang w:val="en-NZ"/>
              </w:rPr>
            </w:pPr>
            <w:r w:rsidRPr="006C16FC">
              <w:t>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C16FC" w:rsidP="006C16FC">
            <w:pPr>
              <w:pStyle w:val="BodyText"/>
            </w:pPr>
            <w:r w:rsidRPr="006C16FC">
              <w:t>Required frequency and volume of evidence amended in Performance evidence.</w:t>
            </w:r>
            <w:r w:rsidRPr="006C16FC">
              <w:br/>
              <w:t>Substantial amendments made in Assessmen</w:t>
            </w:r>
            <w:r w:rsidRPr="006C16FC">
              <w:t>t Conditions field, including: references to Industry Sectors, assessor and subject matter expert experience requirements, how assessment should be conducted and what it should confirm.</w:t>
            </w:r>
          </w:p>
        </w:tc>
      </w:tr>
    </w:tbl>
    <w:p w:rsidR="00000000" w:rsidRPr="006C16FC" w:rsidP="006C16FC">
      <w:pPr>
        <w:pStyle w:val="BodyText"/>
      </w:pPr>
    </w:p>
    <w:p w:rsidR="00000000" w:rsidRPr="006C16FC" w:rsidP="006C16FC">
      <w:pPr>
        <w:pStyle w:val="AllowPageBreak"/>
      </w:pPr>
    </w:p>
    <w:p w:rsidR="00000000" w:rsidRPr="006C16FC" w:rsidP="006C16FC">
      <w:pPr>
        <w:pStyle w:val="Heading1"/>
      </w:pPr>
      <w:bookmarkStart w:id="2" w:name="O_689497"/>
      <w:bookmarkEnd w:id="2"/>
      <w:r w:rsidRPr="006C16FC">
        <w:t>Application</w:t>
      </w:r>
    </w:p>
    <w:p w:rsidR="00000000" w:rsidRPr="006C16FC" w:rsidP="00AE0107">
      <w:pPr>
        <w:pStyle w:val="BodyText"/>
      </w:pPr>
      <w:r w:rsidRPr="006C16FC">
        <w:t>This unit describes a participant’</w:t>
      </w:r>
      <w:r w:rsidRPr="006C16FC">
        <w:t>s skills and knowledge required to monitor control processes in Coal Mining.</w:t>
      </w:r>
    </w:p>
    <w:p w:rsidR="00000000" w:rsidRPr="006C16FC" w:rsidP="00AE0107">
      <w:pPr>
        <w:pStyle w:val="Heading4"/>
      </w:pPr>
      <w:r w:rsidRPr="006C16FC">
        <w:t>This unit is appropriate for those working in operational roles</w:t>
      </w:r>
    </w:p>
    <w:p w:rsidR="00AE0107" w:rsidP="00AE0107">
      <w:pPr>
        <w:pStyle w:val="BodyText"/>
      </w:pPr>
      <w:r w:rsidRPr="006C16FC">
        <w:t xml:space="preserve">Licensing, legislative, regulatory and certification requirements that apply to this unit can vary between States, </w:t>
      </w:r>
      <w:r w:rsidRPr="006C16FC">
        <w:t>Territories and Industry sectors. Relevant information must be sourced prior to the application of this unit.</w:t>
      </w:r>
    </w:p>
    <w:p w:rsidR="00000000" w:rsidRPr="006C16FC" w:rsidP="006C16FC">
      <w:pPr>
        <w:pStyle w:val="Heading1"/>
      </w:pPr>
      <w:bookmarkStart w:id="3" w:name="O_689496"/>
      <w:bookmarkEnd w:id="3"/>
      <w:r w:rsidRPr="006C16FC">
        <w:t>Unit Sector</w:t>
      </w:r>
    </w:p>
    <w:p w:rsidR="00000000" w:rsidRPr="006C16FC" w:rsidP="00AE0107">
      <w:pPr>
        <w:pStyle w:val="BodyText"/>
      </w:pPr>
      <w:r w:rsidRPr="006C16FC">
        <w:t xml:space="preserve">Coal mining </w:t>
      </w:r>
    </w:p>
    <w:p w:rsidR="00000000" w:rsidRPr="006C16FC" w:rsidP="006C16FC">
      <w:pPr>
        <w:pStyle w:val="Heading1"/>
      </w:pPr>
      <w:bookmarkStart w:id="4" w:name="O_689495"/>
      <w:bookmarkEnd w:id="4"/>
      <w:r w:rsidRPr="006C16FC">
        <w:t>Elements and Performance Criteria</w:t>
      </w:r>
    </w:p>
    <w:tbl>
      <w:tblPr>
        <w:tblW w:w="9322" w:type="dxa"/>
        <w:tblLayout w:type="fixed"/>
        <w:tblCellMar>
          <w:left w:w="62" w:type="dxa"/>
          <w:right w:w="62" w:type="dxa"/>
        </w:tblCellMar>
        <w:tblLook w:val="0000"/>
      </w:tblPr>
      <w:tblGrid>
        <w:gridCol w:w="2438"/>
        <w:gridCol w:w="6884"/>
      </w:tblGrid>
      <w:tr w:rsidTr="006C16FC">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16FC">
            <w:pPr>
              <w:pStyle w:val="BodyText"/>
              <w:rPr>
                <w:lang w:val="en-NZ"/>
              </w:rPr>
            </w:pPr>
            <w:r w:rsidRPr="006C16FC">
              <w:t xml:space="preserve">1. Plan and prepare to monitor control processes </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C16FC" w:rsidP="006C16FC">
            <w:pPr>
              <w:pStyle w:val="BodyText"/>
            </w:pPr>
            <w:r w:rsidRPr="006C16FC">
              <w:t>1.</w:t>
            </w:r>
            <w:r w:rsidRPr="006C16FC">
              <w:t>1</w:t>
            </w:r>
            <w:r w:rsidRPr="006C16FC">
              <w:tab/>
              <w:t xml:space="preserve">Access, interpret and apply monitor control processes documentation and ensure the work activity is compliant </w:t>
            </w:r>
          </w:p>
          <w:p w:rsidR="00000000" w:rsidRPr="006C16FC" w:rsidP="006C16FC">
            <w:pPr>
              <w:pStyle w:val="BodyText"/>
            </w:pPr>
            <w:r w:rsidRPr="006C16FC">
              <w:t>1.2</w:t>
            </w:r>
            <w:r w:rsidRPr="006C16FC">
              <w:tab/>
              <w:t xml:space="preserve">Obtain, read, interpret, clarify and confirm work requirements </w:t>
            </w:r>
          </w:p>
          <w:p w:rsidR="00000000" w:rsidRPr="006C16FC" w:rsidP="006C16FC">
            <w:pPr>
              <w:pStyle w:val="BodyText"/>
            </w:pPr>
            <w:r w:rsidRPr="006C16FC">
              <w:t>1.3</w:t>
            </w:r>
            <w:r w:rsidRPr="006C16FC">
              <w:tab/>
              <w:t xml:space="preserve">Identify and address potential risks, hazards and environmental issues </w:t>
            </w:r>
            <w:r w:rsidRPr="006C16FC">
              <w:t xml:space="preserve">and implement control measures </w:t>
            </w:r>
          </w:p>
          <w:p w:rsidR="00000000" w:rsidRPr="006C16FC" w:rsidP="006C16FC">
            <w:pPr>
              <w:pStyle w:val="BodyText"/>
            </w:pPr>
            <w:r w:rsidRPr="006C16FC">
              <w:t>1.4</w:t>
            </w:r>
            <w:r w:rsidRPr="006C16FC">
              <w:tab/>
              <w:t>Select and wear appropriate personal protective equipment and protective clothing</w:t>
            </w:r>
          </w:p>
          <w:p w:rsidR="00000000" w:rsidRPr="006C16FC" w:rsidP="006C16FC">
            <w:pPr>
              <w:pStyle w:val="BodyText"/>
            </w:pPr>
            <w:r w:rsidRPr="006C16FC">
              <w:t>1.5</w:t>
            </w:r>
            <w:r w:rsidRPr="006C16FC">
              <w:tab/>
              <w:t>Obtain and interpret emergency procedures and be prepared for fire/accident/emergency</w:t>
            </w:r>
          </w:p>
          <w:p w:rsidR="00000000" w:rsidRPr="006C16FC" w:rsidP="006C16FC">
            <w:pPr>
              <w:pStyle w:val="BodyText"/>
            </w:pPr>
            <w:r w:rsidRPr="006C16FC">
              <w:t>1.6</w:t>
            </w:r>
            <w:r w:rsidRPr="006C16FC">
              <w:tab/>
              <w:t>Select monitoring equipment and check for fa</w:t>
            </w:r>
            <w:r w:rsidRPr="006C16FC">
              <w:t xml:space="preserve">ults </w:t>
            </w:r>
          </w:p>
          <w:p w:rsidR="00000000" w:rsidP="006C16FC">
            <w:pPr>
              <w:pStyle w:val="BodyText"/>
              <w:rPr>
                <w:lang w:val="en-NZ"/>
              </w:rPr>
            </w:pPr>
            <w:r w:rsidRPr="006C16FC">
              <w:t>1.7</w:t>
            </w:r>
            <w:r w:rsidRPr="006C16FC">
              <w:tab/>
              <w:t>Identify and locate all equipment and services under monitoring control</w:t>
            </w:r>
          </w:p>
        </w:tc>
      </w:tr>
      <w:tr w:rsidTr="006C16FC">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16FC">
            <w:pPr>
              <w:pStyle w:val="BodyText"/>
              <w:rPr>
                <w:lang w:val="en-NZ"/>
              </w:rPr>
            </w:pPr>
            <w:r w:rsidRPr="006C16FC">
              <w:t xml:space="preserve">2. Monitor and control operations </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C16FC" w:rsidP="006C16FC">
            <w:pPr>
              <w:pStyle w:val="BodyText"/>
            </w:pPr>
            <w:r w:rsidRPr="006C16FC">
              <w:t>2.1</w:t>
            </w:r>
            <w:r w:rsidRPr="006C16FC">
              <w:tab/>
              <w:t>Monitor mine processes and identify equipment availability, service availability for continuity of production</w:t>
            </w:r>
          </w:p>
          <w:p w:rsidR="00000000" w:rsidRPr="006C16FC" w:rsidP="006C16FC">
            <w:pPr>
              <w:pStyle w:val="BodyText"/>
            </w:pPr>
            <w:r w:rsidRPr="006C16FC">
              <w:t>2.2</w:t>
            </w:r>
            <w:r w:rsidRPr="006C16FC">
              <w:tab/>
            </w:r>
            <w:r w:rsidRPr="006C16FC">
              <w:t>Report faults within processes, equipment or services, to the appropriate authority for remedial action</w:t>
            </w:r>
          </w:p>
          <w:p w:rsidR="00000000" w:rsidRPr="006C16FC" w:rsidP="006C16FC">
            <w:pPr>
              <w:pStyle w:val="BodyText"/>
            </w:pPr>
            <w:r w:rsidRPr="006C16FC">
              <w:t>2.3</w:t>
            </w:r>
            <w:r w:rsidRPr="006C16FC">
              <w:tab/>
              <w:t xml:space="preserve">Continually monitor hazards and risks, and ensure safety of self, other personnel, plant and equipment </w:t>
            </w:r>
          </w:p>
          <w:p w:rsidR="00000000" w:rsidRPr="006C16FC" w:rsidP="006C16FC">
            <w:pPr>
              <w:pStyle w:val="BodyText"/>
            </w:pPr>
            <w:r w:rsidRPr="006C16FC">
              <w:t>2.4</w:t>
            </w:r>
            <w:r w:rsidRPr="006C16FC">
              <w:tab/>
              <w:t xml:space="preserve">Provide status reports to those who are </w:t>
            </w:r>
            <w:r w:rsidRPr="006C16FC">
              <w:t>or may be affected by the faults or disruption to production</w:t>
            </w:r>
          </w:p>
          <w:p w:rsidR="00000000" w:rsidP="006C16FC">
            <w:pPr>
              <w:pStyle w:val="BodyText"/>
              <w:rPr>
                <w:lang w:val="en-NZ"/>
              </w:rPr>
            </w:pPr>
            <w:r w:rsidRPr="006C16FC">
              <w:t>2.5</w:t>
            </w:r>
            <w:r w:rsidRPr="006C16FC">
              <w:tab/>
              <w:t xml:space="preserve">Monitor and report remedial actions and the effects on production </w:t>
            </w:r>
          </w:p>
        </w:tc>
      </w:tr>
      <w:tr w:rsidTr="006C16FC">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16FC">
            <w:pPr>
              <w:pStyle w:val="BodyText"/>
              <w:rPr>
                <w:lang w:val="en-NZ"/>
              </w:rPr>
            </w:pPr>
            <w:r w:rsidRPr="006C16FC">
              <w:t xml:space="preserve">3. Record operational information </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C16FC" w:rsidP="006C16FC">
            <w:pPr>
              <w:pStyle w:val="BodyText"/>
            </w:pPr>
            <w:r w:rsidRPr="006C16FC">
              <w:t>3.1</w:t>
            </w:r>
            <w:r w:rsidRPr="006C16FC">
              <w:tab/>
              <w:t xml:space="preserve">Provide handover reports </w:t>
            </w:r>
          </w:p>
          <w:p w:rsidR="00000000" w:rsidRPr="006C16FC" w:rsidP="006C16FC">
            <w:pPr>
              <w:pStyle w:val="BodyText"/>
            </w:pPr>
            <w:r w:rsidRPr="006C16FC">
              <w:t>3.2</w:t>
            </w:r>
            <w:r w:rsidRPr="006C16FC">
              <w:tab/>
              <w:t xml:space="preserve">Process records </w:t>
            </w:r>
          </w:p>
        </w:tc>
      </w:tr>
    </w:tbl>
    <w:p w:rsidR="00000000" w:rsidRPr="006C16FC" w:rsidP="006C16FC">
      <w:pPr>
        <w:pStyle w:val="BodyText"/>
      </w:pPr>
    </w:p>
    <w:p w:rsidR="00000000" w:rsidRPr="006C16FC" w:rsidP="006C16FC">
      <w:pPr>
        <w:pStyle w:val="AllowPageBreak"/>
      </w:pPr>
    </w:p>
    <w:p w:rsidR="00000000" w:rsidRPr="006C16FC" w:rsidP="006C16FC">
      <w:pPr>
        <w:pStyle w:val="Heading1"/>
      </w:pPr>
      <w:bookmarkStart w:id="5" w:name="O_689494"/>
      <w:bookmarkEnd w:id="5"/>
      <w:r w:rsidRPr="006C16FC">
        <w:t>Foundation Skills</w:t>
      </w:r>
    </w:p>
    <w:p w:rsidR="00AE0107" w:rsidP="00AE0107">
      <w:pPr>
        <w:pStyle w:val="BodyText"/>
      </w:pPr>
      <w:r w:rsidRPr="006C16FC">
        <w:t xml:space="preserve">Foundation skills essential to performance are explicit in the performance criteria of this unit. Further information is available in the Resources and Infrastructure Industry Training Package Companion Volume. </w:t>
      </w:r>
    </w:p>
    <w:p w:rsidR="00000000" w:rsidRPr="006C16FC" w:rsidP="006C16FC">
      <w:pPr>
        <w:pStyle w:val="Heading1"/>
      </w:pPr>
      <w:bookmarkStart w:id="6" w:name="O_689493"/>
      <w:bookmarkEnd w:id="6"/>
      <w:r w:rsidRPr="006C16FC">
        <w:t>Unit Mapping Information</w:t>
      </w:r>
    </w:p>
    <w:p w:rsidR="00000000" w:rsidRPr="006C16FC" w:rsidP="00AE0107">
      <w:pPr>
        <w:pStyle w:val="BodyText"/>
      </w:pPr>
      <w:r w:rsidRPr="006C16FC">
        <w:t>R</w:t>
      </w:r>
      <w:r w:rsidRPr="006C16FC">
        <w:t xml:space="preserve">IIMCU311A Monitor control processes </w:t>
      </w:r>
    </w:p>
    <w:p w:rsidR="00000000" w:rsidRPr="006C16FC" w:rsidP="006C16FC">
      <w:pPr>
        <w:pStyle w:val="Heading1"/>
      </w:pPr>
      <w:bookmarkStart w:id="7" w:name="O_689499"/>
      <w:bookmarkEnd w:id="7"/>
      <w:r w:rsidRPr="006C16FC">
        <w:t>Links</w:t>
      </w:r>
    </w:p>
    <w:p w:rsidR="00000000" w:rsidRPr="006C16FC" w:rsidP="00AE0107">
      <w:pPr>
        <w:pStyle w:val="BodyText"/>
      </w:pPr>
      <w:r w:rsidRPr="006C16FC">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CD4488">
        <w:rPr>
          <w:rStyle w:val="Hyperlink"/>
        </w:rPr>
        <w:t>https://vetnet.gov.au/Pages/TrainingDocs.aspx?q=88a61002-9a21-4386-aaf8-69c76e675272</w:t>
      </w:r>
      <w:r>
        <w:fldChar w:fldCharType="end"/>
      </w:r>
    </w:p>
    <w:p w:rsidR="00000000" w:rsidRPr="006C16FC" w:rsidP="00AE0107">
      <w:pPr>
        <w:pStyle w:val="BodyText"/>
        <w:sectPr w:rsidSect="006C16FC">
          <w:headerReference w:type="default" r:id="rId10"/>
          <w:footerReference w:type="default" r:id="rId11"/>
          <w:pgSz w:w="11908" w:h="16833"/>
          <w:pgMar w:top="1702" w:right="1418" w:bottom="1702" w:left="1418" w:header="992" w:footer="992" w:gutter="0"/>
          <w:cols w:space="720"/>
          <w:noEndnote/>
          <w:docGrid w:linePitch="299"/>
        </w:sectPr>
      </w:pPr>
    </w:p>
    <w:p w:rsidR="00000000" w:rsidRPr="006C16FC" w:rsidP="006C16FC">
      <w:pPr>
        <w:pStyle w:val="SuperHeading"/>
      </w:pPr>
      <w:r w:rsidRPr="006C16FC">
        <w:t>Assessment Requirements for RIIMCU311D Monitor control processes</w:t>
      </w:r>
    </w:p>
    <w:p w:rsidR="00000000" w:rsidRPr="006C16FC" w:rsidP="006C16FC">
      <w:pPr>
        <w:pStyle w:val="Heading1"/>
      </w:pPr>
      <w:bookmarkStart w:id="8" w:name="O_689491"/>
      <w:bookmarkEnd w:id="8"/>
      <w:r w:rsidRPr="006C16FC">
        <w:t>Modification History</w:t>
      </w:r>
    </w:p>
    <w:tbl>
      <w:tblPr>
        <w:tblW w:w="0" w:type="auto"/>
        <w:tblCellMar>
          <w:left w:w="62" w:type="dxa"/>
          <w:right w:w="62" w:type="dxa"/>
        </w:tblCellMar>
        <w:tblLook w:val="0000"/>
      </w:tblPr>
      <w:tblGrid>
        <w:gridCol w:w="968"/>
        <w:gridCol w:w="8228"/>
      </w:tblGrid>
      <w:tr w:rsidTr="00AE0107">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16FC">
            <w:pPr>
              <w:pStyle w:val="BodyText"/>
              <w:rPr>
                <w:lang w:val="en-NZ"/>
              </w:rPr>
            </w:pPr>
            <w:r w:rsidRPr="006C16FC">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16FC">
            <w:pPr>
              <w:pStyle w:val="BodyText"/>
              <w:rPr>
                <w:lang w:val="en-NZ"/>
              </w:rPr>
            </w:pPr>
            <w:r w:rsidRPr="006C16FC">
              <w:t>Comment</w:t>
            </w:r>
          </w:p>
        </w:tc>
      </w:tr>
      <w:tr w:rsidTr="00AE0107">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16FC">
            <w:pPr>
              <w:pStyle w:val="BodyText"/>
              <w:rPr>
                <w:lang w:val="en-NZ"/>
              </w:rPr>
            </w:pPr>
            <w:r w:rsidRPr="006C16FC">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16FC">
            <w:pPr>
              <w:pStyle w:val="BodyText"/>
              <w:rPr>
                <w:lang w:val="en-NZ"/>
              </w:rPr>
            </w:pPr>
            <w:r w:rsidRPr="006C16FC">
              <w:t>This unit replaces RIIMCU311A Monitor control processes</w:t>
            </w:r>
          </w:p>
        </w:tc>
      </w:tr>
      <w:tr w:rsidTr="00AE0107">
        <w:tblPrEx>
          <w:tblW w:w="0" w:type="auto"/>
          <w:tblCellMar>
            <w:left w:w="62" w:type="dxa"/>
            <w:right w:w="62" w:type="dxa"/>
          </w:tblCellMar>
          <w:tblLook w:val="0000"/>
        </w:tblPrEx>
        <w:trPr>
          <w:trHeight w:val="507"/>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16FC">
            <w:pPr>
              <w:pStyle w:val="BodyText"/>
              <w:rPr>
                <w:lang w:val="en-NZ"/>
              </w:rPr>
            </w:pPr>
            <w:r w:rsidRPr="006C16FC">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16FC">
            <w:pPr>
              <w:pStyle w:val="BodyText"/>
              <w:rPr>
                <w:lang w:val="en-NZ"/>
              </w:rPr>
            </w:pPr>
            <w:r w:rsidRPr="006C16FC">
              <w:t>Inserted missing Assessment Conditions</w:t>
            </w:r>
          </w:p>
        </w:tc>
      </w:tr>
      <w:tr w:rsidTr="00AE0107">
        <w:tblPrEx>
          <w:tblW w:w="0" w:type="auto"/>
          <w:tblCellMar>
            <w:left w:w="62" w:type="dxa"/>
            <w:right w:w="62" w:type="dxa"/>
          </w:tblCellMar>
          <w:tblLook w:val="0000"/>
        </w:tblPrEx>
        <w:trPr>
          <w:trHeight w:val="897"/>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16FC">
            <w:pPr>
              <w:pStyle w:val="BodyText"/>
              <w:rPr>
                <w:lang w:val="en-NZ"/>
              </w:rPr>
            </w:pPr>
            <w:r w:rsidRPr="006C16FC">
              <w:t>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C16FC" w:rsidP="006C16FC">
            <w:pPr>
              <w:pStyle w:val="BodyText"/>
            </w:pPr>
            <w:r w:rsidRPr="006C16FC">
              <w:t>Required frequency and volume o</w:t>
            </w:r>
            <w:r w:rsidRPr="006C16FC">
              <w:t>f evidence amended in Performance evidence.</w:t>
            </w:r>
            <w:r w:rsidRPr="006C16FC">
              <w:br/>
              <w:t>Substantial amendments made in Assessment Conditions field, including: references to Industry Sectors, assessor and subject matter expert experience requirements, how assessment should be conducted and what it sh</w:t>
            </w:r>
            <w:r w:rsidRPr="006C16FC">
              <w:t>ould confirm.</w:t>
            </w:r>
          </w:p>
        </w:tc>
      </w:tr>
    </w:tbl>
    <w:p w:rsidR="00000000" w:rsidRPr="006C16FC" w:rsidP="006C16FC">
      <w:pPr>
        <w:pStyle w:val="BodyText"/>
      </w:pPr>
    </w:p>
    <w:p w:rsidR="00000000" w:rsidRPr="006C16FC" w:rsidP="006C16FC">
      <w:pPr>
        <w:pStyle w:val="AllowPageBreak"/>
      </w:pPr>
    </w:p>
    <w:p w:rsidR="00000000" w:rsidRPr="006C16FC" w:rsidP="006C16FC">
      <w:pPr>
        <w:pStyle w:val="Heading1"/>
      </w:pPr>
      <w:bookmarkStart w:id="9" w:name="O_689490"/>
      <w:bookmarkEnd w:id="9"/>
      <w:r w:rsidRPr="006C16FC">
        <w:t>Performance Evidence</w:t>
      </w:r>
    </w:p>
    <w:p w:rsidR="00000000" w:rsidRPr="006C16FC" w:rsidP="00AE0107">
      <w:pPr>
        <w:pStyle w:val="BodyText"/>
      </w:pPr>
      <w:r w:rsidRPr="006C16FC">
        <w:t>Evidence is required to be collected that demonstrates a candidate’s competency in this unit. Evidence must be relevant to the roles within this sector’s work operations and satisfy all of the requireme</w:t>
      </w:r>
      <w:r w:rsidRPr="006C16FC">
        <w:t>nts of the performance criteria of this unit and include evidence that the candidate:</w:t>
      </w:r>
    </w:p>
    <w:p w:rsidR="00000000" w:rsidRPr="006C16FC" w:rsidP="006C16FC">
      <w:pPr>
        <w:pStyle w:val="ListBullet"/>
      </w:pPr>
      <w:r w:rsidRPr="006C16FC">
        <w:t>locates and applies applicable legislation, documentation, policies and procedures</w:t>
      </w:r>
    </w:p>
    <w:p w:rsidR="00000000" w:rsidRPr="006C16FC" w:rsidP="006C16FC">
      <w:pPr>
        <w:pStyle w:val="ListBullet"/>
      </w:pPr>
      <w:r w:rsidRPr="006C16FC">
        <w:t>implements the requirements, procedures and techniques for the safe, effective and efficient completion of monitoring control processes including:</w:t>
      </w:r>
    </w:p>
    <w:p w:rsidR="00000000" w:rsidRPr="006C16FC" w:rsidP="006C16FC">
      <w:pPr>
        <w:pStyle w:val="ListBullet2"/>
      </w:pPr>
      <w:r w:rsidRPr="006C16FC">
        <w:t>starting, operating and closing down monitoring equipment</w:t>
      </w:r>
    </w:p>
    <w:p w:rsidR="00000000" w:rsidRPr="006C16FC" w:rsidP="006C16FC">
      <w:pPr>
        <w:pStyle w:val="ListBullet2"/>
      </w:pPr>
      <w:r w:rsidRPr="006C16FC">
        <w:t xml:space="preserve">reading, interpreting, applying and communicating </w:t>
      </w:r>
      <w:r w:rsidRPr="006C16FC">
        <w:t>technical/operational monitoring information and reports</w:t>
      </w:r>
    </w:p>
    <w:p w:rsidR="00000000" w:rsidRPr="006C16FC" w:rsidP="006C16FC">
      <w:pPr>
        <w:pStyle w:val="ListBullet2"/>
      </w:pPr>
      <w:r w:rsidRPr="006C16FC">
        <w:t>communicate effectively on monitoring information</w:t>
      </w:r>
    </w:p>
    <w:p w:rsidR="00000000" w:rsidRPr="006C16FC" w:rsidP="006C16FC">
      <w:pPr>
        <w:pStyle w:val="ListBullet2"/>
      </w:pPr>
      <w:r w:rsidRPr="006C16FC">
        <w:t>maintaining records</w:t>
      </w:r>
    </w:p>
    <w:p w:rsidR="00000000" w:rsidRPr="006C16FC" w:rsidP="006C16FC">
      <w:pPr>
        <w:pStyle w:val="ListBullet"/>
      </w:pPr>
      <w:r w:rsidRPr="006C16FC">
        <w:t xml:space="preserve">works effectively with others to undertake and complete monitoring of control processes in a way that meets all of the required </w:t>
      </w:r>
      <w:r w:rsidRPr="006C16FC">
        <w:t>outcomes including:</w:t>
      </w:r>
    </w:p>
    <w:p w:rsidR="00000000" w:rsidRPr="006C16FC" w:rsidP="006C16FC">
      <w:pPr>
        <w:pStyle w:val="ListBullet2"/>
      </w:pPr>
      <w:r w:rsidRPr="006C16FC">
        <w:t>organising work activities to meet all task requirements</w:t>
      </w:r>
    </w:p>
    <w:p w:rsidR="00000000" w:rsidRPr="006C16FC" w:rsidP="006C16FC">
      <w:pPr>
        <w:pStyle w:val="ListBullet2"/>
      </w:pPr>
      <w:r w:rsidRPr="006C16FC">
        <w:t>communicating clearly and concisely with others to receive and clarify work instructions</w:t>
      </w:r>
    </w:p>
    <w:p w:rsidR="00000000" w:rsidRPr="006C16FC" w:rsidP="006C16FC">
      <w:pPr>
        <w:pStyle w:val="ListBullet2"/>
      </w:pPr>
      <w:r w:rsidRPr="006C16FC">
        <w:t>complying with written and verbal reporting requirements and procedures</w:t>
      </w:r>
    </w:p>
    <w:p w:rsidR="00000000" w:rsidRPr="006C16FC" w:rsidP="006C16FC">
      <w:pPr>
        <w:pStyle w:val="ListBullet2"/>
      </w:pPr>
      <w:r w:rsidRPr="006C16FC">
        <w:t>resolving coordin</w:t>
      </w:r>
      <w:r w:rsidRPr="006C16FC">
        <w:t>ation requirements throughout work activities</w:t>
      </w:r>
    </w:p>
    <w:p w:rsidR="00000000" w:rsidRPr="006C16FC" w:rsidP="006C16FC">
      <w:pPr>
        <w:pStyle w:val="ListBullet"/>
      </w:pPr>
      <w:r w:rsidRPr="006C16FC">
        <w:t>demonstrates completion of monitoring control processes that safely, effectively and efficiently meets all of the required outcomes on more than one (1) occasion including:</w:t>
      </w:r>
    </w:p>
    <w:p w:rsidR="00000000" w:rsidRPr="006C16FC" w:rsidP="006C16FC">
      <w:pPr>
        <w:pStyle w:val="ListBullet2"/>
      </w:pPr>
      <w:r w:rsidRPr="006C16FC">
        <w:t>identifying equipment availability,</w:t>
      </w:r>
      <w:r w:rsidRPr="006C16FC">
        <w:t xml:space="preserve"> service availability and continuity of production, and </w:t>
      </w:r>
    </w:p>
    <w:p w:rsidR="00000000" w:rsidRPr="006C16FC" w:rsidP="006C16FC">
      <w:pPr>
        <w:pStyle w:val="ListBullet2"/>
      </w:pPr>
      <w:r w:rsidRPr="006C16FC">
        <w:t xml:space="preserve">reporting faults within processes, to equipment or services, to the appropriate authority for remedial action </w:t>
      </w:r>
    </w:p>
    <w:p w:rsidR="00000000" w:rsidRPr="006C16FC" w:rsidP="006C16FC">
      <w:pPr>
        <w:pStyle w:val="ListBullet2"/>
      </w:pPr>
      <w:r w:rsidRPr="006C16FC">
        <w:t>confirming work requirements details such as;</w:t>
      </w:r>
    </w:p>
    <w:p w:rsidR="00000000" w:rsidRPr="006C16FC" w:rsidP="006C16FC">
      <w:pPr>
        <w:pStyle w:val="ListBullet3"/>
      </w:pPr>
      <w:r w:rsidRPr="006C16FC">
        <w:t>standard operating procedures</w:t>
      </w:r>
    </w:p>
    <w:p w:rsidR="00000000" w:rsidRPr="006C16FC" w:rsidP="006C16FC">
      <w:pPr>
        <w:pStyle w:val="ListBullet3"/>
      </w:pPr>
      <w:r w:rsidRPr="006C16FC">
        <w:t>status reports</w:t>
      </w:r>
    </w:p>
    <w:p w:rsidR="00000000" w:rsidRPr="006C16FC" w:rsidP="006C16FC">
      <w:pPr>
        <w:pStyle w:val="ListBullet3"/>
      </w:pPr>
      <w:r w:rsidRPr="006C16FC">
        <w:t>notice of known or anticipated changes</w:t>
      </w:r>
    </w:p>
    <w:p w:rsidR="00000000" w:rsidRPr="006C16FC" w:rsidP="006C16FC">
      <w:pPr>
        <w:pStyle w:val="ListBullet3"/>
      </w:pPr>
      <w:r w:rsidRPr="006C16FC">
        <w:t>specific responsibilities for the shift</w:t>
      </w:r>
    </w:p>
    <w:p w:rsidR="00000000" w:rsidRPr="006C16FC" w:rsidP="006C16FC">
      <w:pPr>
        <w:pStyle w:val="ListBullet3"/>
      </w:pPr>
      <w:r w:rsidRPr="006C16FC">
        <w:t>coordination requirements/issues</w:t>
      </w:r>
    </w:p>
    <w:p w:rsidR="00000000" w:rsidRPr="006C16FC" w:rsidP="006C16FC">
      <w:pPr>
        <w:pStyle w:val="AllowPageBreak"/>
      </w:pPr>
    </w:p>
    <w:p w:rsidR="00000000" w:rsidRPr="006C16FC" w:rsidP="006C16FC">
      <w:pPr>
        <w:pStyle w:val="Heading1"/>
      </w:pPr>
      <w:bookmarkStart w:id="10" w:name="O_689489"/>
      <w:bookmarkEnd w:id="10"/>
      <w:r w:rsidRPr="006C16FC">
        <w:t>Knowledge Evidence</w:t>
      </w:r>
    </w:p>
    <w:p w:rsidR="00000000" w:rsidRPr="006C16FC" w:rsidP="00AE0107">
      <w:pPr>
        <w:pStyle w:val="BodyText"/>
      </w:pPr>
      <w:r w:rsidRPr="006C16FC">
        <w:t>The candidate must demonstrate knowledge of monitoring control processes through:</w:t>
      </w:r>
    </w:p>
    <w:p w:rsidR="00000000" w:rsidRPr="006C16FC" w:rsidP="006C16FC">
      <w:pPr>
        <w:pStyle w:val="ListBullet"/>
      </w:pPr>
      <w:r w:rsidRPr="006C16FC">
        <w:t>accessing,</w:t>
      </w:r>
      <w:r w:rsidRPr="006C16FC">
        <w:t xml:space="preserve"> interpreting and applying legislative, organization and site requirements and procedures for:</w:t>
      </w:r>
    </w:p>
    <w:p w:rsidR="00000000" w:rsidRPr="006C16FC" w:rsidP="006C16FC">
      <w:pPr>
        <w:pStyle w:val="ListBullet3"/>
      </w:pPr>
      <w:r w:rsidRPr="006C16FC">
        <w:t xml:space="preserve">work health and safety </w:t>
      </w:r>
    </w:p>
    <w:p w:rsidR="00000000" w:rsidRPr="006C16FC" w:rsidP="006C16FC">
      <w:pPr>
        <w:pStyle w:val="ListBullet3"/>
      </w:pPr>
      <w:r w:rsidRPr="006C16FC">
        <w:t>environmental issues</w:t>
      </w:r>
    </w:p>
    <w:p w:rsidR="00000000" w:rsidRPr="006C16FC" w:rsidP="006C16FC">
      <w:pPr>
        <w:pStyle w:val="ListBullet3"/>
      </w:pPr>
      <w:r w:rsidRPr="006C16FC">
        <w:t xml:space="preserve">mine operational activities </w:t>
      </w:r>
    </w:p>
    <w:p w:rsidR="00000000" w:rsidRPr="006C16FC" w:rsidP="006C16FC">
      <w:pPr>
        <w:pStyle w:val="ListBullet3"/>
      </w:pPr>
      <w:r w:rsidRPr="006C16FC">
        <w:t xml:space="preserve">operating monitoring equipment </w:t>
      </w:r>
    </w:p>
    <w:p w:rsidR="00000000" w:rsidRPr="006C16FC" w:rsidP="006C16FC">
      <w:pPr>
        <w:pStyle w:val="ListBullet3"/>
      </w:pPr>
      <w:r w:rsidRPr="006C16FC">
        <w:t>site communications</w:t>
      </w:r>
    </w:p>
    <w:p w:rsidR="00000000" w:rsidRPr="006C16FC" w:rsidP="006C16FC">
      <w:pPr>
        <w:pStyle w:val="ListBullet3"/>
      </w:pPr>
      <w:r w:rsidRPr="006C16FC">
        <w:t xml:space="preserve">housekeeping </w:t>
      </w:r>
    </w:p>
    <w:p w:rsidR="00000000" w:rsidRPr="006C16FC" w:rsidP="006C16FC">
      <w:pPr>
        <w:pStyle w:val="ListBullet2"/>
      </w:pPr>
      <w:r w:rsidRPr="006C16FC">
        <w:t>monitoring systems characteristics, uses and limitations</w:t>
      </w:r>
    </w:p>
    <w:p w:rsidR="00000000" w:rsidRPr="006C16FC" w:rsidP="006C16FC">
      <w:pPr>
        <w:pStyle w:val="ListBullet2"/>
      </w:pPr>
      <w:r w:rsidRPr="006C16FC">
        <w:t>mining systems in use</w:t>
      </w:r>
    </w:p>
    <w:p w:rsidR="00000000" w:rsidRPr="006C16FC" w:rsidP="006C16FC">
      <w:pPr>
        <w:pStyle w:val="ListBullet2"/>
      </w:pPr>
      <w:r w:rsidRPr="006C16FC">
        <w:t>mine plan and layout</w:t>
      </w:r>
    </w:p>
    <w:p w:rsidR="00000000" w:rsidRPr="006C16FC" w:rsidP="006C16FC">
      <w:pPr>
        <w:pStyle w:val="ListBullet2"/>
      </w:pPr>
      <w:r w:rsidRPr="006C16FC">
        <w:t>mine system schematics</w:t>
      </w:r>
    </w:p>
    <w:p w:rsidR="00000000" w:rsidRPr="006C16FC" w:rsidP="006C16FC">
      <w:pPr>
        <w:pStyle w:val="ListBullet2"/>
      </w:pPr>
      <w:r w:rsidRPr="006C16FC">
        <w:t>being prepared for fire/accident/emergency</w:t>
      </w:r>
    </w:p>
    <w:p w:rsidR="00000000" w:rsidRPr="006C16FC" w:rsidP="006C16FC">
      <w:pPr>
        <w:pStyle w:val="AllowPageBreak"/>
      </w:pPr>
    </w:p>
    <w:p w:rsidR="00000000" w:rsidRPr="006C16FC" w:rsidP="006C16FC">
      <w:pPr>
        <w:pStyle w:val="Heading1"/>
      </w:pPr>
      <w:bookmarkStart w:id="11" w:name="O_689488"/>
      <w:bookmarkEnd w:id="11"/>
      <w:r w:rsidRPr="006C16FC">
        <w:t>Assessment Conditions</w:t>
      </w:r>
    </w:p>
    <w:p w:rsidR="00000000" w:rsidRPr="006C16FC" w:rsidP="006C16FC">
      <w:pPr>
        <w:pStyle w:val="ListBullet"/>
      </w:pPr>
      <w:r w:rsidRPr="006C16FC">
        <w:t xml:space="preserve">An assessor of this unit must satisfy the requirements of the NVR/AQTF or their successors; and Industry regulations for certification and licensing: and, </w:t>
      </w:r>
    </w:p>
    <w:p w:rsidR="00000000" w:rsidRPr="006C16FC" w:rsidP="006C16FC">
      <w:pPr>
        <w:pStyle w:val="ListBullet"/>
      </w:pPr>
      <w:r w:rsidRPr="006C16FC">
        <w:t>this unit must be assessed in the context of this sector’s work environment; and,</w:t>
      </w:r>
    </w:p>
    <w:p w:rsidR="00000000" w:rsidRPr="006C16FC" w:rsidP="006C16FC">
      <w:pPr>
        <w:pStyle w:val="ListBullet"/>
      </w:pPr>
      <w:r w:rsidRPr="006C16FC">
        <w:t xml:space="preserve">this unit must be </w:t>
      </w:r>
      <w:r w:rsidRPr="006C16FC">
        <w:t>assessed in compliance with relevant legislation/regulation and using policies, procedures, processes and operational manuals directly related to the industry sector for which it is being assessed; and,</w:t>
      </w:r>
    </w:p>
    <w:p w:rsidR="00000000" w:rsidRPr="006C16FC" w:rsidP="006C16FC">
      <w:pPr>
        <w:pStyle w:val="ListBullet"/>
      </w:pPr>
      <w:r w:rsidRPr="006C16FC">
        <w:t>assessment may be conducted in conjunction with the a</w:t>
      </w:r>
      <w:r w:rsidRPr="006C16FC">
        <w:t>ssessment of other Units of Competency; and,</w:t>
      </w:r>
    </w:p>
    <w:p w:rsidR="00000000" w:rsidRPr="006C16FC" w:rsidP="006C16FC">
      <w:pPr>
        <w:pStyle w:val="ListBullet"/>
      </w:pPr>
      <w:r w:rsidRPr="006C16FC">
        <w:t>assessment must confirm consistent performance can be applied in a range of relevant workplace circumstances; and,</w:t>
      </w:r>
    </w:p>
    <w:p w:rsidR="00000000" w:rsidRPr="006C16FC" w:rsidP="006C16FC">
      <w:pPr>
        <w:pStyle w:val="ListBullet"/>
      </w:pPr>
      <w:r w:rsidRPr="006C16FC">
        <w:t xml:space="preserve">assessors must demonstrate the performance evidence, and knowledge evidence as outlined in this </w:t>
      </w:r>
      <w:r w:rsidRPr="006C16FC">
        <w:t>Unit of Competency, and through the minimum years of current* work experience specified below in an Industry sector relevant to the outcomes of the unit; or,</w:t>
      </w:r>
    </w:p>
    <w:p w:rsidR="00000000" w:rsidRPr="006C16FC" w:rsidP="006C16FC">
      <w:pPr>
        <w:pStyle w:val="ListBullet"/>
      </w:pPr>
      <w:r w:rsidRPr="006C16FC">
        <w:t>where the assessor does not meet experience requirements a co-assessment or partnership arrangemen</w:t>
      </w:r>
      <w:r w:rsidRPr="006C16FC">
        <w:t>t must exist between the qualified assessor and an Industry subject matter expert. The Industry subject matter expert should hold the unit being assessed (or an equivalent unit) and/or demonstrate equivalence of skills and knowledge at the unit level. An I</w:t>
      </w:r>
      <w:r w:rsidRPr="006C16FC">
        <w:t>ndustry technical expert must also demonstrate skills and knowledge from the minimum years of current work experience specified below in the Industry sector, including time spent in roles related to the unit being assessed; and,</w:t>
      </w:r>
    </w:p>
    <w:p w:rsidR="00000000" w:rsidRPr="006C16FC" w:rsidP="006C16FC">
      <w:pPr>
        <w:pStyle w:val="ListBullet"/>
      </w:pPr>
      <w:r w:rsidRPr="006C16FC">
        <w:t>assessor and Industry subject matter expert requirements differ depending on the Australian Qualifications Framework Level (AQF) of the qualification being assessed and/or Industry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6C16FC">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C16FC">
            <w:pPr>
              <w:pStyle w:val="BodyText"/>
              <w:rPr>
                <w:lang w:val="en-NZ"/>
              </w:rPr>
            </w:pPr>
            <w:r w:rsidRPr="006C16FC">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C16FC">
            <w:pPr>
              <w:pStyle w:val="BodyText"/>
              <w:rPr>
                <w:lang w:val="en-NZ"/>
              </w:rPr>
            </w:pPr>
            <w:r w:rsidRPr="006C16FC">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C16FC">
            <w:pPr>
              <w:pStyle w:val="BodyText"/>
              <w:rPr>
                <w:lang w:val="en-NZ"/>
              </w:rPr>
            </w:pPr>
            <w:r w:rsidRPr="006C16FC">
              <w:t>Required assessor or Industr</w:t>
            </w:r>
            <w:r w:rsidRPr="006C16FC">
              <w:t>y subject matter expert experience</w:t>
            </w:r>
          </w:p>
        </w:tc>
      </w:tr>
      <w:tr w:rsidTr="006C16FC">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C16FC">
            <w:pPr>
              <w:pStyle w:val="BodyText"/>
              <w:rPr>
                <w:lang w:val="en-NZ"/>
              </w:rPr>
            </w:pPr>
            <w:r w:rsidRPr="006C16FC">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C16FC">
            <w:pPr>
              <w:pStyle w:val="BodyText"/>
              <w:rPr>
                <w:lang w:val="en-NZ"/>
              </w:rPr>
            </w:pPr>
            <w:r w:rsidRPr="006C16FC">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C16FC">
            <w:pPr>
              <w:pStyle w:val="BodyText"/>
              <w:rPr>
                <w:lang w:val="en-NZ"/>
              </w:rPr>
            </w:pPr>
            <w:r w:rsidRPr="006C16FC">
              <w:t>1 Year</w:t>
            </w:r>
          </w:p>
        </w:tc>
      </w:tr>
      <w:tr w:rsidTr="006C16FC">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C16FC">
            <w:pPr>
              <w:pStyle w:val="BodyText"/>
              <w:rPr>
                <w:lang w:val="en-NZ"/>
              </w:rPr>
            </w:pPr>
            <w:r w:rsidRPr="006C16FC">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C16FC">
            <w:pPr>
              <w:pStyle w:val="BodyText"/>
              <w:rPr>
                <w:lang w:val="en-NZ"/>
              </w:rPr>
            </w:pPr>
            <w:r w:rsidRPr="006C16FC">
              <w:t>2 Years</w:t>
            </w:r>
          </w:p>
        </w:tc>
      </w:tr>
      <w:tr w:rsidTr="006C16FC">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C16FC">
            <w:pPr>
              <w:pStyle w:val="BodyText"/>
              <w:rPr>
                <w:lang w:val="en-NZ"/>
              </w:rPr>
            </w:pPr>
            <w:r w:rsidRPr="006C16FC">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C16FC">
            <w:pPr>
              <w:pStyle w:val="BodyText"/>
              <w:rPr>
                <w:lang w:val="en-NZ"/>
              </w:rPr>
            </w:pPr>
            <w:r w:rsidRPr="006C16FC">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C16FC">
            <w:pPr>
              <w:pStyle w:val="BodyText"/>
              <w:rPr>
                <w:lang w:val="en-NZ"/>
              </w:rPr>
            </w:pPr>
            <w:r w:rsidRPr="006C16FC">
              <w:t>3 Years</w:t>
            </w:r>
          </w:p>
        </w:tc>
      </w:tr>
      <w:tr w:rsidTr="006C16FC">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C16FC">
            <w:pPr>
              <w:pStyle w:val="BodyText"/>
              <w:rPr>
                <w:lang w:val="en-NZ"/>
              </w:rPr>
            </w:pPr>
            <w:r w:rsidRPr="006C16FC">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C16FC">
            <w:pPr>
              <w:pStyle w:val="BodyText"/>
              <w:rPr>
                <w:lang w:val="en-NZ"/>
              </w:rPr>
            </w:pPr>
            <w:r w:rsidRPr="006C16FC">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C16FC">
            <w:pPr>
              <w:pStyle w:val="BodyText"/>
              <w:rPr>
                <w:lang w:val="en-NZ"/>
              </w:rPr>
            </w:pPr>
            <w:r w:rsidRPr="006C16FC">
              <w:t>5 Years</w:t>
            </w:r>
          </w:p>
        </w:tc>
      </w:tr>
      <w:tr w:rsidTr="006C16FC">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C16FC">
            <w:pPr>
              <w:pStyle w:val="BodyText"/>
              <w:rPr>
                <w:lang w:val="en-NZ"/>
              </w:rPr>
            </w:pPr>
            <w:r w:rsidRPr="006C16FC">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6C16FC" w:rsidP="006C16FC">
            <w:pPr>
              <w:pStyle w:val="BodyText"/>
            </w:pPr>
            <w:r w:rsidRPr="006C16FC">
              <w:t>Where this Unit is being assessed outside of the Resources and Infrastructure Sectors assessor and/or Industry subject matter expert experience should be in-line with industry standards for the sector in which it is being assesse</w:t>
            </w:r>
            <w:r w:rsidRPr="006C16FC">
              <w:t>d and where no Industry standard is specified should comply with any relevant regulation.</w:t>
            </w:r>
          </w:p>
        </w:tc>
      </w:tr>
    </w:tbl>
    <w:p w:rsidR="00000000" w:rsidRPr="006C16FC" w:rsidP="00AE0107">
      <w:pPr>
        <w:pStyle w:val="BodyText"/>
      </w:pPr>
      <w:r w:rsidRPr="006C16FC">
        <w:t>*Assessors can demonstrate current work experience through employment within Industry in a role relevant to the outcomes of the Unit; or, for external assessors thi</w:t>
      </w:r>
      <w:r w:rsidRPr="006C16FC">
        <w:t>s can be demonstrated through exposure to Industry by conducting frequent site assessments across various locations.</w:t>
      </w:r>
    </w:p>
    <w:p w:rsidR="00000000" w:rsidRPr="006C16FC" w:rsidP="00AE0107">
      <w:pPr>
        <w:pStyle w:val="BodyText"/>
      </w:pPr>
      <w:r w:rsidRPr="006C16FC">
        <w:t xml:space="preserve">**Where a unit is being delivered outside of a Qualification the first numeric character in the Unit code should be considered to indicate </w:t>
      </w:r>
      <w:r w:rsidRPr="006C16FC">
        <w:t>the AQF level</w:t>
      </w:r>
    </w:p>
    <w:p w:rsidR="00000000" w:rsidRPr="006C16FC" w:rsidP="006C16FC">
      <w:pPr>
        <w:pStyle w:val="Heading1"/>
      </w:pPr>
      <w:bookmarkStart w:id="12" w:name="O_689500"/>
      <w:bookmarkEnd w:id="12"/>
      <w:r w:rsidRPr="006C16FC">
        <w:t>Links</w:t>
      </w:r>
    </w:p>
    <w:p w:rsidR="00000000" w:rsidRPr="006C16FC" w:rsidP="00AE0107">
      <w:pPr>
        <w:pStyle w:val="BodyText"/>
      </w:pPr>
      <w:r w:rsidRPr="006C16FC">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CD4488">
        <w:rPr>
          <w:rStyle w:val="Hyperlink"/>
        </w:rPr>
        <w:t>https://vetnet.gov.au/Pages/TrainingDocs.aspx?q=88a61002-9a21-4386-aaf8-69c76e675272</w:t>
      </w:r>
      <w:r>
        <w:fldChar w:fldCharType="end"/>
      </w:r>
    </w:p>
    <w:p w:rsidR="00000000" w:rsidRPr="006C16FC" w:rsidP="006C16FC"/>
    <w:sectPr w:rsidSect="006C16FC">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16F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16FC" w:rsidRPr="00AE0107" w:rsidP="00AE010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16F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0107" w:rsidP="006C16F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AE0107" w:rsidP="006C16FC">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AE0107" w:rsidP="006C16FC">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16FC" w:rsidP="006C16FC">
    <w:pPr>
      <w:pStyle w:val="Footer"/>
      <w:framePr w:wrap="around"/>
    </w:pPr>
    <w:r>
      <w:fldChar w:fldCharType="begin"/>
    </w:r>
    <w:r>
      <w:instrText xml:space="preserve"> DOCPROPERTY  Subject  \* MERGEFORMAT </w:instrText>
    </w:r>
    <w:r>
      <w:fldChar w:fldCharType="separate"/>
    </w:r>
    <w:r w:rsidR="00AE0107">
      <w:t>Approved</w:t>
    </w:r>
    <w:r w:rsidR="00AE0107">
      <w:fldChar w:fldCharType="end"/>
    </w:r>
    <w:r>
      <w:tab/>
      <w:t xml:space="preserve">Page </w:t>
    </w:r>
    <w:r>
      <w:fldChar w:fldCharType="begin"/>
    </w:r>
    <w:r>
      <w:instrText xml:space="preserve"> PAGE  \* Arabic  \* MERGEFORMAT </w:instrText>
    </w:r>
    <w:r>
      <w:fldChar w:fldCharType="separate"/>
    </w:r>
    <w:r w:rsidR="00AE0107">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AE0107">
      <w:rPr>
        <w:noProof/>
      </w:rPr>
      <w:t>5</w:t>
    </w:r>
    <w:r>
      <w:rPr>
        <w:noProof/>
      </w:rPr>
      <w:fldChar w:fldCharType="end"/>
    </w:r>
  </w:p>
  <w:p w:rsidR="006C16FC" w:rsidP="006C16FC">
    <w:pPr>
      <w:pStyle w:val="Footer"/>
      <w:framePr w:wrap="around"/>
    </w:pPr>
    <w:r>
      <w:t xml:space="preserve">© Commonwealth of Australia, </w:t>
    </w:r>
    <w:r>
      <w:fldChar w:fldCharType="begin"/>
    </w:r>
    <w:r>
      <w:instrText xml:space="preserve"> DATE  \@ "yyyy"  \* MERGEFORMAT </w:instrText>
    </w:r>
    <w:r>
      <w:fldChar w:fldCharType="separate"/>
    </w:r>
    <w:r w:rsidR="00AE0107">
      <w:rPr>
        <w:noProof/>
      </w:rPr>
      <w:t>2025</w:t>
    </w:r>
    <w:r>
      <w:fldChar w:fldCharType="end"/>
    </w:r>
    <w:r>
      <w:tab/>
    </w:r>
    <w:r>
      <w:fldChar w:fldCharType="begin"/>
    </w:r>
    <w:r>
      <w:instrText xml:space="preserve"> DOCPROPERTY  Author  \* MERGEFORMAT </w:instrText>
    </w:r>
    <w:r>
      <w:fldChar w:fldCharType="separate"/>
    </w:r>
    <w:r w:rsidR="00AE0107">
      <w:t>Mining and Automotive Skills Alliance</w:t>
    </w:r>
    <w:r w:rsidR="00AE0107">
      <w:fldChar w:fldCharType="end"/>
    </w:r>
  </w:p>
  <w:p w:rsidR="006C16FC" w:rsidP="006C16F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16F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010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C16FC" w:rsidRPr="00AE0107" w:rsidP="00AE010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16F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0107" w:rsidRPr="002D2AF8" w:rsidP="006C16FC">
    <w:pPr>
      <w:pStyle w:val="Header"/>
      <w:framePr w:wrap="around"/>
    </w:pPr>
    <w:r>
      <w:fldChar w:fldCharType="begin"/>
    </w:r>
    <w:r>
      <w:instrText xml:space="preserve"> TITLE   \* MERGEFORMAT </w:instrText>
    </w:r>
    <w:r>
      <w:fldChar w:fldCharType="separate"/>
    </w:r>
    <w:r>
      <w:t>RIIMCU311D Monitor control processes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AE0107" w:rsidP="006C16FC">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16FC" w:rsidRPr="002D2AF8" w:rsidP="006C16FC">
    <w:pPr>
      <w:pStyle w:val="Header"/>
      <w:framePr w:wrap="around"/>
    </w:pPr>
    <w:r>
      <w:fldChar w:fldCharType="begin"/>
    </w:r>
    <w:r>
      <w:instrText xml:space="preserve"> TITLE   \* MERGEFORMAT </w:instrText>
    </w:r>
    <w:r>
      <w:fldChar w:fldCharType="separate"/>
    </w:r>
    <w:r w:rsidR="00AE0107">
      <w:t>RIIMCU311D Monitor control processes</w:t>
    </w:r>
    <w:r w:rsidR="00AE0107">
      <w:fldChar w:fldCharType="end"/>
    </w:r>
    <w:r>
      <w:tab/>
      <w:t xml:space="preserve">Date this document was generated: </w:t>
    </w:r>
    <w:r>
      <w:fldChar w:fldCharType="begin"/>
    </w:r>
    <w:r>
      <w:instrText xml:space="preserve"> CREATEDATE  \@ "d MMMM yyyy"  \* MERGEFORMAT </w:instrText>
    </w:r>
    <w:r>
      <w:fldChar w:fldCharType="separate"/>
    </w:r>
    <w:r w:rsidR="00AE0107">
      <w:rPr>
        <w:noProof/>
      </w:rPr>
      <w:t>2 March 2025</w:t>
    </w:r>
    <w:r>
      <w:fldChar w:fldCharType="end"/>
    </w:r>
  </w:p>
  <w:p w:rsidR="006C16FC" w:rsidP="006C16F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E3C930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19C556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D329DE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C16F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C16FC"/>
    <w:pPr>
      <w:spacing w:before="360" w:after="60"/>
      <w:outlineLvl w:val="0"/>
    </w:pPr>
    <w:rPr>
      <w:sz w:val="32"/>
    </w:rPr>
  </w:style>
  <w:style w:type="paragraph" w:styleId="Heading2">
    <w:name w:val="heading 2"/>
    <w:basedOn w:val="HeadingBase"/>
    <w:next w:val="BodyText"/>
    <w:link w:val="Heading2Char"/>
    <w:qFormat/>
    <w:rsid w:val="006C16FC"/>
    <w:pPr>
      <w:keepLines/>
      <w:spacing w:before="240" w:after="120"/>
      <w:outlineLvl w:val="1"/>
    </w:pPr>
    <w:rPr>
      <w:sz w:val="28"/>
      <w:szCs w:val="40"/>
    </w:rPr>
  </w:style>
  <w:style w:type="paragraph" w:styleId="Heading3">
    <w:name w:val="heading 3"/>
    <w:basedOn w:val="HeadingBase"/>
    <w:next w:val="BodyText"/>
    <w:link w:val="Heading3Char"/>
    <w:qFormat/>
    <w:rsid w:val="006C16FC"/>
    <w:pPr>
      <w:spacing w:before="180" w:after="120"/>
      <w:outlineLvl w:val="2"/>
    </w:pPr>
    <w:rPr>
      <w:spacing w:val="-10"/>
      <w:kern w:val="32"/>
    </w:rPr>
  </w:style>
  <w:style w:type="paragraph" w:styleId="Heading4">
    <w:name w:val="heading 4"/>
    <w:basedOn w:val="HeadingBase"/>
    <w:next w:val="BodyText"/>
    <w:link w:val="Heading4Char"/>
    <w:qFormat/>
    <w:rsid w:val="006C16FC"/>
    <w:pPr>
      <w:spacing w:before="160" w:after="120"/>
      <w:outlineLvl w:val="3"/>
    </w:pPr>
    <w:rPr>
      <w:sz w:val="22"/>
    </w:rPr>
  </w:style>
  <w:style w:type="paragraph" w:styleId="Heading5">
    <w:name w:val="heading 5"/>
    <w:basedOn w:val="HeadingBase"/>
    <w:next w:val="Normal"/>
    <w:link w:val="Heading5Char"/>
    <w:qFormat/>
    <w:rsid w:val="006C16FC"/>
    <w:pPr>
      <w:spacing w:before="80"/>
      <w:outlineLvl w:val="4"/>
    </w:pPr>
    <w:rPr>
      <w:color w:val="918585"/>
      <w:sz w:val="20"/>
    </w:rPr>
  </w:style>
  <w:style w:type="paragraph" w:styleId="Heading6">
    <w:name w:val="heading 6"/>
    <w:basedOn w:val="HeadingBase"/>
    <w:next w:val="Normal"/>
    <w:link w:val="Heading6Char"/>
    <w:qFormat/>
    <w:rsid w:val="006C16FC"/>
    <w:pPr>
      <w:spacing w:before="60"/>
      <w:outlineLvl w:val="5"/>
    </w:pPr>
    <w:rPr>
      <w:color w:val="918585"/>
      <w:sz w:val="20"/>
    </w:rPr>
  </w:style>
  <w:style w:type="paragraph" w:styleId="Heading7">
    <w:name w:val="heading 7"/>
    <w:basedOn w:val="Normal"/>
    <w:next w:val="Normal"/>
    <w:link w:val="Heading7Char"/>
    <w:qFormat/>
    <w:rsid w:val="006C16FC"/>
    <w:pPr>
      <w:ind w:left="720"/>
      <w:outlineLvl w:val="6"/>
    </w:pPr>
    <w:rPr>
      <w:i/>
    </w:rPr>
  </w:style>
  <w:style w:type="paragraph" w:styleId="Heading8">
    <w:name w:val="heading 8"/>
    <w:basedOn w:val="Normal"/>
    <w:next w:val="Normal"/>
    <w:link w:val="Heading8Char"/>
    <w:qFormat/>
    <w:rsid w:val="006C16FC"/>
    <w:pPr>
      <w:ind w:left="720"/>
      <w:outlineLvl w:val="7"/>
    </w:pPr>
    <w:rPr>
      <w:i/>
    </w:rPr>
  </w:style>
  <w:style w:type="paragraph" w:styleId="Heading9">
    <w:name w:val="heading 9"/>
    <w:basedOn w:val="Normal"/>
    <w:next w:val="Normal"/>
    <w:link w:val="Heading9Char"/>
    <w:qFormat/>
    <w:rsid w:val="006C16FC"/>
    <w:pPr>
      <w:ind w:left="720"/>
      <w:outlineLvl w:val="8"/>
    </w:pPr>
    <w:rPr>
      <w:i/>
    </w:rPr>
  </w:style>
  <w:style w:type="character" w:default="1" w:styleId="DefaultParagraphFont">
    <w:name w:val="Default Paragraph Font"/>
    <w:uiPriority w:val="1"/>
    <w:unhideWhenUsed/>
    <w:rsid w:val="006C16F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C16FC"/>
  </w:style>
  <w:style w:type="character" w:customStyle="1" w:styleId="Heading1Char">
    <w:name w:val="Heading 1 Char"/>
    <w:basedOn w:val="DefaultParagraphFont"/>
    <w:link w:val="Heading1"/>
    <w:rsid w:val="006C16FC"/>
    <w:rPr>
      <w:rFonts w:ascii="Times New Roman" w:eastAsia="Times New Roman" w:hAnsi="Times New Roman" w:cs="Times New Roman"/>
      <w:b/>
      <w:sz w:val="32"/>
      <w:szCs w:val="20"/>
      <w:lang w:eastAsia="en-US"/>
    </w:rPr>
  </w:style>
  <w:style w:type="paragraph" w:styleId="BodyText">
    <w:name w:val="Body Text"/>
    <w:basedOn w:val="Normal"/>
    <w:link w:val="BodyTextChar"/>
    <w:rsid w:val="006C16F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C16FC"/>
    <w:rPr>
      <w:rFonts w:ascii="Times New Roman" w:eastAsia="Times New Roman" w:hAnsi="Times New Roman" w:cs="Times New Roman"/>
      <w:sz w:val="24"/>
      <w:lang w:eastAsia="en-US"/>
    </w:rPr>
  </w:style>
  <w:style w:type="paragraph" w:styleId="ListBullet">
    <w:name w:val="List Bullet"/>
    <w:basedOn w:val="List"/>
    <w:rsid w:val="006C16FC"/>
    <w:pPr>
      <w:numPr>
        <w:numId w:val="13"/>
      </w:numPr>
      <w:tabs>
        <w:tab w:val="clear" w:pos="340"/>
      </w:tabs>
      <w:spacing w:before="40" w:after="40"/>
    </w:pPr>
  </w:style>
  <w:style w:type="paragraph" w:styleId="ListBullet2">
    <w:name w:val="List Bullet 2"/>
    <w:basedOn w:val="List2"/>
    <w:rsid w:val="006C16FC"/>
    <w:pPr>
      <w:numPr>
        <w:numId w:val="14"/>
      </w:numPr>
      <w:tabs>
        <w:tab w:val="clear" w:pos="680"/>
      </w:tabs>
    </w:pPr>
  </w:style>
  <w:style w:type="paragraph" w:customStyle="1" w:styleId="SuperHeading">
    <w:name w:val="SuperHeading"/>
    <w:basedOn w:val="Normal"/>
    <w:rsid w:val="006C16FC"/>
    <w:pPr>
      <w:spacing w:before="240" w:after="120"/>
      <w:outlineLvl w:val="0"/>
    </w:pPr>
    <w:rPr>
      <w:rFonts w:ascii="Times New Roman" w:hAnsi="Times New Roman"/>
      <w:b/>
      <w:sz w:val="32"/>
    </w:rPr>
  </w:style>
  <w:style w:type="paragraph" w:customStyle="1" w:styleId="AllowPageBreak">
    <w:name w:val="AllowPageBreak"/>
    <w:rsid w:val="006C16FC"/>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6C16FC"/>
    <w:pPr>
      <w:numPr>
        <w:numId w:val="3"/>
      </w:numPr>
      <w:tabs>
        <w:tab w:val="clear" w:pos="1021"/>
      </w:tabs>
      <w:ind w:left="1037" w:hanging="357"/>
    </w:pPr>
  </w:style>
  <w:style w:type="character" w:customStyle="1" w:styleId="Heading2Char">
    <w:name w:val="Heading 2 Char"/>
    <w:basedOn w:val="DefaultParagraphFont"/>
    <w:link w:val="Heading2"/>
    <w:rsid w:val="006C16F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C16F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C16F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C16F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C16F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C16F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C16F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C16FC"/>
    <w:rPr>
      <w:rFonts w:ascii="Courier New" w:eastAsia="Times New Roman" w:hAnsi="Courier New" w:cs="Times New Roman"/>
      <w:i/>
      <w:szCs w:val="20"/>
      <w:lang w:eastAsia="en-US"/>
    </w:rPr>
  </w:style>
  <w:style w:type="paragraph" w:customStyle="1" w:styleId="HeadingBase">
    <w:name w:val="Heading Base"/>
    <w:rsid w:val="006C16F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C16FC"/>
    <w:pPr>
      <w:tabs>
        <w:tab w:val="right" w:leader="dot" w:pos="9072"/>
      </w:tabs>
      <w:ind w:left="567"/>
    </w:pPr>
    <w:rPr>
      <w:szCs w:val="22"/>
    </w:rPr>
  </w:style>
  <w:style w:type="paragraph" w:customStyle="1" w:styleId="TOCBase">
    <w:name w:val="TOC Base"/>
    <w:rsid w:val="006C16F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C16FC"/>
    <w:pPr>
      <w:tabs>
        <w:tab w:val="right" w:leader="dot" w:pos="9072"/>
      </w:tabs>
      <w:spacing w:before="40" w:after="40"/>
      <w:ind w:left="284"/>
    </w:pPr>
    <w:rPr>
      <w:rFonts w:ascii="Times New Roman" w:hAnsi="Times New Roman"/>
    </w:rPr>
  </w:style>
  <w:style w:type="paragraph" w:styleId="TOC1">
    <w:name w:val="toc 1"/>
    <w:basedOn w:val="TOCBase"/>
    <w:next w:val="Normal"/>
    <w:rsid w:val="006C16F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C16F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C16FC"/>
    <w:rPr>
      <w:rFonts w:ascii="Times New Roman" w:eastAsia="Times New Roman" w:hAnsi="Times New Roman" w:cs="Times New Roman"/>
      <w:sz w:val="16"/>
      <w:lang w:eastAsia="en-US"/>
    </w:rPr>
  </w:style>
  <w:style w:type="paragraph" w:styleId="Title">
    <w:name w:val="Title"/>
    <w:basedOn w:val="HeadingBase"/>
    <w:link w:val="TitleChar"/>
    <w:qFormat/>
    <w:rsid w:val="006C16FC"/>
    <w:pPr>
      <w:spacing w:before="5040"/>
      <w:jc w:val="center"/>
    </w:pPr>
    <w:rPr>
      <w:sz w:val="48"/>
      <w:szCs w:val="72"/>
      <w:lang w:val="en-US"/>
    </w:rPr>
  </w:style>
  <w:style w:type="character" w:customStyle="1" w:styleId="TitleChar">
    <w:name w:val="Title Char"/>
    <w:basedOn w:val="DefaultParagraphFont"/>
    <w:link w:val="Title"/>
    <w:rsid w:val="006C16F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C16FC"/>
    <w:pPr>
      <w:tabs>
        <w:tab w:val="left" w:pos="3600"/>
        <w:tab w:val="left" w:pos="3958"/>
      </w:tabs>
    </w:pPr>
  </w:style>
  <w:style w:type="paragraph" w:styleId="List">
    <w:name w:val="List"/>
    <w:basedOn w:val="BodyText"/>
    <w:next w:val="BodyText"/>
    <w:rsid w:val="006C16FC"/>
    <w:pPr>
      <w:tabs>
        <w:tab w:val="left" w:pos="340"/>
      </w:tabs>
      <w:spacing w:before="60" w:after="60"/>
      <w:ind w:left="340" w:hanging="340"/>
    </w:pPr>
  </w:style>
  <w:style w:type="paragraph" w:customStyle="1" w:styleId="Note">
    <w:name w:val="Note"/>
    <w:basedOn w:val="BodyText"/>
    <w:rsid w:val="006C16FC"/>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6C16FC"/>
    <w:rPr>
      <w:b/>
      <w:spacing w:val="0"/>
    </w:rPr>
  </w:style>
  <w:style w:type="paragraph" w:customStyle="1" w:styleId="SuperTitle">
    <w:name w:val="SuperTitle"/>
    <w:basedOn w:val="Title"/>
    <w:rsid w:val="006C16FC"/>
    <w:pPr>
      <w:framePr w:wrap="auto" w:hAnchor="text" w:y="6049"/>
    </w:pPr>
    <w:rPr>
      <w:color w:val="000000"/>
      <w:sz w:val="40"/>
    </w:rPr>
  </w:style>
  <w:style w:type="paragraph" w:customStyle="1" w:styleId="TOCTitle">
    <w:name w:val="TOCTitle"/>
    <w:basedOn w:val="Heading1"/>
    <w:rsid w:val="006C16FC"/>
    <w:pPr>
      <w:spacing w:after="240"/>
      <w:jc w:val="center"/>
      <w:outlineLvl w:val="9"/>
    </w:pPr>
    <w:rPr>
      <w:caps/>
    </w:rPr>
  </w:style>
  <w:style w:type="paragraph" w:customStyle="1" w:styleId="Version">
    <w:name w:val="Version"/>
    <w:rsid w:val="006C16F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C16FC"/>
    <w:pPr>
      <w:keepNext w:val="0"/>
      <w:tabs>
        <w:tab w:val="right" w:pos="4176"/>
      </w:tabs>
      <w:ind w:left="198" w:hanging="198"/>
    </w:pPr>
    <w:rPr>
      <w:rFonts w:ascii="Garamond" w:hAnsi="Garamond"/>
    </w:rPr>
  </w:style>
  <w:style w:type="paragraph" w:styleId="IndexHeading">
    <w:name w:val="index heading"/>
    <w:basedOn w:val="Normal"/>
    <w:next w:val="Index1"/>
    <w:semiHidden/>
    <w:rsid w:val="006C16FC"/>
    <w:pPr>
      <w:spacing w:before="120" w:after="120"/>
    </w:pPr>
    <w:rPr>
      <w:rFonts w:ascii="Arial" w:hAnsi="Arial"/>
      <w:b/>
      <w:color w:val="918585"/>
      <w:sz w:val="24"/>
    </w:rPr>
  </w:style>
  <w:style w:type="paragraph" w:styleId="Header">
    <w:name w:val="header"/>
    <w:basedOn w:val="Normal"/>
    <w:link w:val="HeaderChar"/>
    <w:rsid w:val="006C16F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C16FC"/>
    <w:rPr>
      <w:rFonts w:ascii="Times New Roman" w:eastAsia="Times New Roman" w:hAnsi="Times New Roman" w:cs="Times New Roman"/>
      <w:sz w:val="16"/>
      <w:szCs w:val="20"/>
      <w:lang w:val="en-GB" w:eastAsia="en-US"/>
    </w:rPr>
  </w:style>
  <w:style w:type="paragraph" w:customStyle="1" w:styleId="Chapter">
    <w:name w:val="Chapter"/>
    <w:basedOn w:val="Normal"/>
    <w:rsid w:val="006C16FC"/>
    <w:pPr>
      <w:spacing w:before="240"/>
    </w:pPr>
    <w:rPr>
      <w:rFonts w:ascii="Times New Roman" w:hAnsi="Times New Roman"/>
      <w:smallCaps/>
      <w:spacing w:val="80"/>
      <w:sz w:val="28"/>
    </w:rPr>
  </w:style>
  <w:style w:type="paragraph" w:customStyle="1" w:styleId="InChapter">
    <w:name w:val="InChapter"/>
    <w:basedOn w:val="Heading3"/>
    <w:rsid w:val="006C16FC"/>
    <w:pPr>
      <w:spacing w:after="240"/>
      <w:outlineLvl w:val="9"/>
    </w:pPr>
    <w:rPr>
      <w:noProof/>
    </w:rPr>
  </w:style>
  <w:style w:type="paragraph" w:styleId="Index2">
    <w:name w:val="index 2"/>
    <w:basedOn w:val="Normal"/>
    <w:next w:val="Normal"/>
    <w:semiHidden/>
    <w:rsid w:val="006C16FC"/>
    <w:pPr>
      <w:tabs>
        <w:tab w:val="right" w:pos="4176"/>
      </w:tabs>
      <w:ind w:left="568" w:hanging="284"/>
    </w:pPr>
    <w:rPr>
      <w:rFonts w:ascii="Garamond" w:hAnsi="Garamond"/>
    </w:rPr>
  </w:style>
  <w:style w:type="paragraph" w:customStyle="1" w:styleId="Byline">
    <w:name w:val="Byline"/>
    <w:rsid w:val="006C16F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C16FC"/>
    <w:pPr>
      <w:tabs>
        <w:tab w:val="clear" w:pos="3600"/>
        <w:tab w:val="clear" w:pos="3958"/>
      </w:tabs>
      <w:jc w:val="right"/>
    </w:pPr>
  </w:style>
  <w:style w:type="character" w:styleId="Emphasis">
    <w:name w:val="Emphasis"/>
    <w:basedOn w:val="DefaultParagraphFont"/>
    <w:qFormat/>
    <w:rsid w:val="006C16FC"/>
    <w:rPr>
      <w:i/>
    </w:rPr>
  </w:style>
  <w:style w:type="paragraph" w:styleId="Caption">
    <w:name w:val="caption"/>
    <w:basedOn w:val="BodyText"/>
    <w:next w:val="Normal"/>
    <w:qFormat/>
    <w:rsid w:val="006C16FC"/>
    <w:pPr>
      <w:framePr w:w="2268" w:hSpace="181" w:vSpace="181" w:wrap="around" w:vAnchor="text" w:hAnchor="page" w:x="1135" w:y="285" w:anchorLock="1"/>
    </w:pPr>
    <w:rPr>
      <w:i/>
    </w:rPr>
  </w:style>
  <w:style w:type="paragraph" w:customStyle="1" w:styleId="MiniTOCTitle">
    <w:name w:val="MiniTOCTitle"/>
    <w:basedOn w:val="Heading4"/>
    <w:rsid w:val="006C16FC"/>
    <w:pPr>
      <w:spacing w:before="240"/>
      <w:outlineLvl w:val="9"/>
    </w:pPr>
    <w:rPr>
      <w:noProof/>
      <w:sz w:val="24"/>
    </w:rPr>
  </w:style>
  <w:style w:type="paragraph" w:customStyle="1" w:styleId="MiniTOCItem">
    <w:name w:val="MiniTOCItem"/>
    <w:basedOn w:val="ListBullet"/>
    <w:rsid w:val="006C16FC"/>
    <w:pPr>
      <w:numPr>
        <w:numId w:val="0"/>
      </w:numPr>
      <w:tabs>
        <w:tab w:val="right" w:leader="dot" w:pos="6521"/>
      </w:tabs>
      <w:spacing w:before="0" w:after="0"/>
    </w:pPr>
  </w:style>
  <w:style w:type="paragraph" w:customStyle="1" w:styleId="TOFTitle">
    <w:name w:val="TOFTitle"/>
    <w:basedOn w:val="TOCTitle"/>
    <w:rsid w:val="006C16FC"/>
  </w:style>
  <w:style w:type="paragraph" w:styleId="TableofFigures">
    <w:name w:val="table of figures"/>
    <w:basedOn w:val="Normal"/>
    <w:next w:val="Normal"/>
    <w:semiHidden/>
    <w:rsid w:val="006C16FC"/>
    <w:pPr>
      <w:tabs>
        <w:tab w:val="right" w:leader="dot" w:pos="9072"/>
      </w:tabs>
      <w:ind w:left="970" w:hanging="403"/>
    </w:pPr>
    <w:rPr>
      <w:rFonts w:ascii="Times New Roman" w:hAnsi="Times New Roman"/>
      <w:b/>
    </w:rPr>
  </w:style>
  <w:style w:type="paragraph" w:styleId="ListNumber">
    <w:name w:val="List Number"/>
    <w:basedOn w:val="List"/>
    <w:rsid w:val="006C16FC"/>
    <w:pPr>
      <w:numPr>
        <w:numId w:val="16"/>
      </w:numPr>
      <w:tabs>
        <w:tab w:val="clear" w:pos="340"/>
      </w:tabs>
    </w:pPr>
  </w:style>
  <w:style w:type="character" w:customStyle="1" w:styleId="WingdingSymbols">
    <w:name w:val="Wingding Symbols"/>
    <w:rsid w:val="006C16FC"/>
    <w:rPr>
      <w:rFonts w:ascii="Wingdings" w:hAnsi="Wingdings"/>
    </w:rPr>
  </w:style>
  <w:style w:type="paragraph" w:customStyle="1" w:styleId="TableHeading">
    <w:name w:val="Table Heading"/>
    <w:basedOn w:val="HeadingBase"/>
    <w:rsid w:val="006C16FC"/>
    <w:pPr>
      <w:keepLines/>
      <w:pBdr>
        <w:bottom w:val="single" w:sz="6" w:space="1" w:color="918585"/>
      </w:pBdr>
      <w:spacing w:before="240"/>
    </w:pPr>
  </w:style>
  <w:style w:type="character" w:customStyle="1" w:styleId="HotSpot">
    <w:name w:val="HotSpot"/>
    <w:rsid w:val="006C16FC"/>
    <w:rPr>
      <w:color w:val="0033CC"/>
      <w:u w:val="none"/>
    </w:rPr>
  </w:style>
  <w:style w:type="paragraph" w:customStyle="1" w:styleId="BodyTextRight">
    <w:name w:val="Body Text Right"/>
    <w:basedOn w:val="BodyText"/>
    <w:rsid w:val="006C16FC"/>
    <w:pPr>
      <w:spacing w:before="0" w:after="0"/>
      <w:jc w:val="right"/>
    </w:pPr>
  </w:style>
  <w:style w:type="paragraph" w:styleId="Index3">
    <w:name w:val="index 3"/>
    <w:basedOn w:val="ListNumber2"/>
    <w:next w:val="Normal"/>
    <w:semiHidden/>
    <w:rsid w:val="006C16FC"/>
    <w:pPr>
      <w:numPr>
        <w:numId w:val="0"/>
      </w:numPr>
      <w:tabs>
        <w:tab w:val="right" w:leader="dot" w:pos="4176"/>
      </w:tabs>
    </w:pPr>
  </w:style>
  <w:style w:type="paragraph" w:styleId="ListNumber2">
    <w:name w:val="List Number 2"/>
    <w:basedOn w:val="List2"/>
    <w:rsid w:val="006C16FC"/>
    <w:pPr>
      <w:numPr>
        <w:numId w:val="11"/>
      </w:numPr>
      <w:tabs>
        <w:tab w:val="clear" w:pos="1060"/>
      </w:tabs>
    </w:pPr>
  </w:style>
  <w:style w:type="paragraph" w:customStyle="1" w:styleId="MarginNote">
    <w:name w:val="Margin Note"/>
    <w:basedOn w:val="BodyText"/>
    <w:rsid w:val="006C16F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C16F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C16F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C16FC"/>
    <w:rPr>
      <w:sz w:val="32"/>
    </w:rPr>
  </w:style>
  <w:style w:type="paragraph" w:customStyle="1" w:styleId="HeadingProcedure">
    <w:name w:val="Heading Procedure"/>
    <w:basedOn w:val="HeadingBase"/>
    <w:next w:val="Normal"/>
    <w:rsid w:val="006C16FC"/>
    <w:pPr>
      <w:tabs>
        <w:tab w:val="left" w:pos="0"/>
      </w:tabs>
      <w:spacing w:before="120" w:after="60"/>
    </w:pPr>
    <w:rPr>
      <w:i/>
      <w:color w:val="918585"/>
      <w:sz w:val="22"/>
    </w:rPr>
  </w:style>
  <w:style w:type="paragraph" w:customStyle="1" w:styleId="TableBodyText">
    <w:name w:val="Table Body Text"/>
    <w:basedOn w:val="BodyText"/>
    <w:rsid w:val="006C16FC"/>
    <w:pPr>
      <w:spacing w:before="60" w:after="60"/>
    </w:pPr>
  </w:style>
  <w:style w:type="paragraph" w:styleId="ListContinue">
    <w:name w:val="List Continue"/>
    <w:basedOn w:val="List"/>
    <w:rsid w:val="006C16FC"/>
    <w:pPr>
      <w:ind w:firstLine="0"/>
    </w:pPr>
  </w:style>
  <w:style w:type="paragraph" w:customStyle="1" w:styleId="ListNote">
    <w:name w:val="List Note"/>
    <w:basedOn w:val="List"/>
    <w:rsid w:val="006C16FC"/>
    <w:pPr>
      <w:pBdr>
        <w:top w:val="single" w:sz="6" w:space="2" w:color="918585"/>
        <w:bottom w:val="single" w:sz="6" w:space="2" w:color="918585"/>
      </w:pBdr>
      <w:tabs>
        <w:tab w:val="left" w:pos="1021"/>
      </w:tabs>
      <w:ind w:firstLine="0"/>
    </w:pPr>
  </w:style>
  <w:style w:type="paragraph" w:customStyle="1" w:styleId="Warning">
    <w:name w:val="Warning"/>
    <w:basedOn w:val="BodyText"/>
    <w:rsid w:val="006C16FC"/>
    <w:pPr>
      <w:shd w:val="clear" w:color="auto" w:fill="D9D9D9"/>
      <w:tabs>
        <w:tab w:val="left" w:pos="992"/>
      </w:tabs>
      <w:ind w:left="119" w:right="119"/>
    </w:pPr>
    <w:rPr>
      <w:sz w:val="20"/>
    </w:rPr>
  </w:style>
  <w:style w:type="paragraph" w:customStyle="1" w:styleId="MarginIcons">
    <w:name w:val="Margin Icons"/>
    <w:basedOn w:val="BodyText"/>
    <w:rsid w:val="006C16F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C16FC"/>
    <w:rPr>
      <w:rFonts w:ascii="Courier New" w:hAnsi="Courier New"/>
    </w:rPr>
  </w:style>
  <w:style w:type="paragraph" w:customStyle="1" w:styleId="NoteBullet">
    <w:name w:val="Note Bullet"/>
    <w:basedOn w:val="Note"/>
    <w:rsid w:val="006C16FC"/>
    <w:pPr>
      <w:tabs>
        <w:tab w:val="clear" w:pos="680"/>
      </w:tabs>
      <w:spacing w:before="60" w:after="60"/>
    </w:pPr>
  </w:style>
  <w:style w:type="paragraph" w:customStyle="1" w:styleId="SubHeading2">
    <w:name w:val="SubHeading2"/>
    <w:basedOn w:val="HeadingBase"/>
    <w:rsid w:val="006C16FC"/>
    <w:pPr>
      <w:spacing w:before="240" w:after="60"/>
    </w:pPr>
    <w:rPr>
      <w:sz w:val="20"/>
    </w:rPr>
  </w:style>
  <w:style w:type="paragraph" w:customStyle="1" w:styleId="SubHeading1">
    <w:name w:val="SubHeading1"/>
    <w:basedOn w:val="HeadingBase"/>
    <w:rsid w:val="006C16FC"/>
    <w:pPr>
      <w:spacing w:before="240" w:after="60"/>
    </w:pPr>
    <w:rPr>
      <w:color w:val="918585"/>
      <w:sz w:val="22"/>
    </w:rPr>
  </w:style>
  <w:style w:type="paragraph" w:customStyle="1" w:styleId="SideHeading">
    <w:name w:val="Side Heading"/>
    <w:basedOn w:val="HeadingBase"/>
    <w:rsid w:val="006C16F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C16FC"/>
    <w:pPr>
      <w:numPr>
        <w:numId w:val="12"/>
      </w:numPr>
    </w:pPr>
  </w:style>
  <w:style w:type="paragraph" w:styleId="PlainText">
    <w:name w:val="Plain Text"/>
    <w:basedOn w:val="Normal"/>
    <w:link w:val="PlainTextChar"/>
    <w:rsid w:val="006C16FC"/>
    <w:rPr>
      <w:sz w:val="20"/>
    </w:rPr>
  </w:style>
  <w:style w:type="character" w:customStyle="1" w:styleId="PlainTextChar">
    <w:name w:val="Plain Text Char"/>
    <w:basedOn w:val="DefaultParagraphFont"/>
    <w:link w:val="PlainText"/>
    <w:rsid w:val="006C16FC"/>
    <w:rPr>
      <w:rFonts w:ascii="Courier New" w:eastAsia="Times New Roman" w:hAnsi="Courier New" w:cs="Times New Roman"/>
      <w:sz w:val="20"/>
      <w:szCs w:val="20"/>
      <w:lang w:eastAsia="en-US"/>
    </w:rPr>
  </w:style>
  <w:style w:type="character" w:customStyle="1" w:styleId="MenuOption">
    <w:name w:val="Menu Option"/>
    <w:basedOn w:val="DefaultParagraphFont"/>
    <w:rsid w:val="006C16FC"/>
    <w:rPr>
      <w:b/>
      <w:smallCaps/>
    </w:rPr>
  </w:style>
  <w:style w:type="paragraph" w:customStyle="1" w:styleId="TableListNumber">
    <w:name w:val="Table List Number"/>
    <w:basedOn w:val="ListNumber"/>
    <w:rsid w:val="006C16FC"/>
    <w:pPr>
      <w:numPr>
        <w:numId w:val="0"/>
      </w:numPr>
    </w:pPr>
  </w:style>
  <w:style w:type="paragraph" w:styleId="TOC4">
    <w:name w:val="toc 4"/>
    <w:basedOn w:val="TOCBase"/>
    <w:next w:val="Normal"/>
    <w:semiHidden/>
    <w:rsid w:val="006C16FC"/>
    <w:pPr>
      <w:tabs>
        <w:tab w:val="right" w:leader="dot" w:pos="9071"/>
      </w:tabs>
      <w:ind w:left="1701"/>
    </w:pPr>
  </w:style>
  <w:style w:type="paragraph" w:customStyle="1" w:styleId="ListAlpha">
    <w:name w:val="List Alpha"/>
    <w:basedOn w:val="List"/>
    <w:rsid w:val="006C16FC"/>
    <w:pPr>
      <w:numPr>
        <w:numId w:val="10"/>
      </w:numPr>
    </w:pPr>
  </w:style>
  <w:style w:type="paragraph" w:customStyle="1" w:styleId="ListAlpha2">
    <w:name w:val="List Alpha 2"/>
    <w:basedOn w:val="List2"/>
    <w:rsid w:val="006C16FC"/>
    <w:pPr>
      <w:numPr>
        <w:numId w:val="9"/>
      </w:numPr>
    </w:pPr>
  </w:style>
  <w:style w:type="paragraph" w:styleId="List2">
    <w:name w:val="List 2"/>
    <w:basedOn w:val="BodyText"/>
    <w:rsid w:val="006C16FC"/>
    <w:pPr>
      <w:tabs>
        <w:tab w:val="left" w:pos="680"/>
      </w:tabs>
      <w:spacing w:before="60" w:after="60"/>
      <w:ind w:left="680" w:hanging="340"/>
    </w:pPr>
  </w:style>
  <w:style w:type="paragraph" w:styleId="List3">
    <w:name w:val="List 3"/>
    <w:basedOn w:val="BodyText"/>
    <w:rsid w:val="006C16FC"/>
    <w:pPr>
      <w:tabs>
        <w:tab w:val="left" w:pos="1021"/>
      </w:tabs>
      <w:spacing w:before="60" w:after="60"/>
      <w:ind w:left="1020" w:hanging="340"/>
    </w:pPr>
  </w:style>
  <w:style w:type="paragraph" w:styleId="List4">
    <w:name w:val="List 4"/>
    <w:basedOn w:val="BodyText"/>
    <w:rsid w:val="006C16FC"/>
    <w:pPr>
      <w:tabs>
        <w:tab w:val="left" w:pos="1361"/>
      </w:tabs>
      <w:spacing w:before="60" w:after="60"/>
      <w:ind w:left="1361" w:hanging="340"/>
    </w:pPr>
  </w:style>
  <w:style w:type="paragraph" w:styleId="List5">
    <w:name w:val="List 5"/>
    <w:basedOn w:val="BodyText"/>
    <w:rsid w:val="006C16FC"/>
    <w:pPr>
      <w:tabs>
        <w:tab w:val="left" w:pos="1701"/>
      </w:tabs>
      <w:spacing w:before="60" w:after="60"/>
      <w:ind w:left="1701" w:hanging="340"/>
    </w:pPr>
  </w:style>
  <w:style w:type="paragraph" w:styleId="ListBullet4">
    <w:name w:val="List Bullet 4"/>
    <w:basedOn w:val="List4"/>
    <w:rsid w:val="006C16FC"/>
    <w:pPr>
      <w:numPr>
        <w:numId w:val="4"/>
      </w:numPr>
      <w:tabs>
        <w:tab w:val="clear" w:pos="1361"/>
      </w:tabs>
    </w:pPr>
  </w:style>
  <w:style w:type="paragraph" w:styleId="ListBullet5">
    <w:name w:val="List Bullet 5"/>
    <w:basedOn w:val="List5"/>
    <w:rsid w:val="006C16FC"/>
    <w:pPr>
      <w:numPr>
        <w:numId w:val="5"/>
      </w:numPr>
    </w:pPr>
  </w:style>
  <w:style w:type="paragraph" w:styleId="ListContinue2">
    <w:name w:val="List Continue 2"/>
    <w:basedOn w:val="List2"/>
    <w:rsid w:val="006C16FC"/>
    <w:pPr>
      <w:ind w:firstLine="0"/>
    </w:pPr>
  </w:style>
  <w:style w:type="paragraph" w:styleId="ListContinue3">
    <w:name w:val="List Continue 3"/>
    <w:basedOn w:val="List3"/>
    <w:rsid w:val="006C16FC"/>
    <w:pPr>
      <w:ind w:left="1021" w:firstLine="0"/>
    </w:pPr>
  </w:style>
  <w:style w:type="paragraph" w:styleId="ListContinue4">
    <w:name w:val="List Continue 4"/>
    <w:basedOn w:val="List4"/>
    <w:rsid w:val="006C16FC"/>
    <w:pPr>
      <w:ind w:firstLine="0"/>
    </w:pPr>
  </w:style>
  <w:style w:type="paragraph" w:styleId="ListContinue5">
    <w:name w:val="List Continue 5"/>
    <w:basedOn w:val="List5"/>
    <w:rsid w:val="006C16FC"/>
    <w:pPr>
      <w:ind w:firstLine="0"/>
    </w:pPr>
  </w:style>
  <w:style w:type="paragraph" w:styleId="ListNumber3">
    <w:name w:val="List Number 3"/>
    <w:basedOn w:val="List3"/>
    <w:rsid w:val="006C16FC"/>
    <w:pPr>
      <w:numPr>
        <w:numId w:val="6"/>
      </w:numPr>
    </w:pPr>
  </w:style>
  <w:style w:type="paragraph" w:styleId="ListNumber4">
    <w:name w:val="List Number 4"/>
    <w:basedOn w:val="List4"/>
    <w:rsid w:val="006C16FC"/>
    <w:pPr>
      <w:numPr>
        <w:numId w:val="7"/>
      </w:numPr>
    </w:pPr>
  </w:style>
  <w:style w:type="paragraph" w:styleId="ListNumber5">
    <w:name w:val="List Number 5"/>
    <w:basedOn w:val="List5"/>
    <w:rsid w:val="006C16FC"/>
    <w:pPr>
      <w:numPr>
        <w:numId w:val="8"/>
      </w:numPr>
    </w:pPr>
  </w:style>
  <w:style w:type="paragraph" w:styleId="BlockText">
    <w:name w:val="Block Text"/>
    <w:basedOn w:val="Normal"/>
    <w:rsid w:val="006C16FC"/>
    <w:pPr>
      <w:spacing w:after="120"/>
      <w:ind w:left="1440" w:right="1440"/>
    </w:pPr>
  </w:style>
  <w:style w:type="character" w:customStyle="1" w:styleId="Subscript">
    <w:name w:val="Subscript"/>
    <w:basedOn w:val="DefaultParagraphFont"/>
    <w:rsid w:val="006C16FC"/>
    <w:rPr>
      <w:sz w:val="16"/>
      <w:vertAlign w:val="subscript"/>
    </w:rPr>
  </w:style>
  <w:style w:type="character" w:customStyle="1" w:styleId="Superscript">
    <w:name w:val="Superscript"/>
    <w:basedOn w:val="DefaultParagraphFont"/>
    <w:rsid w:val="006C16FC"/>
    <w:rPr>
      <w:sz w:val="16"/>
      <w:vertAlign w:val="superscript"/>
    </w:rPr>
  </w:style>
  <w:style w:type="character" w:customStyle="1" w:styleId="Symbols">
    <w:name w:val="Symbols"/>
    <w:basedOn w:val="DefaultParagraphFont"/>
    <w:rsid w:val="006C16FC"/>
    <w:rPr>
      <w:rFonts w:ascii="Symbol" w:hAnsi="Symbol"/>
    </w:rPr>
  </w:style>
  <w:style w:type="character" w:customStyle="1" w:styleId="MenuOptions">
    <w:name w:val="Menu Options"/>
    <w:basedOn w:val="DefaultParagraphFont"/>
    <w:rsid w:val="006C16FC"/>
    <w:rPr>
      <w:rFonts w:ascii="Arial Narrow" w:hAnsi="Arial Narrow"/>
      <w:smallCaps/>
    </w:rPr>
  </w:style>
  <w:style w:type="character" w:customStyle="1" w:styleId="Buttons">
    <w:name w:val="Buttons"/>
    <w:basedOn w:val="DefaultParagraphFont"/>
    <w:rsid w:val="006C16FC"/>
    <w:rPr>
      <w:b/>
    </w:rPr>
  </w:style>
  <w:style w:type="character" w:customStyle="1" w:styleId="Underlined">
    <w:name w:val="Underlined"/>
    <w:basedOn w:val="DefaultParagraphFont"/>
    <w:rsid w:val="006C16FC"/>
    <w:rPr>
      <w:u w:val="single"/>
    </w:rPr>
  </w:style>
  <w:style w:type="paragraph" w:customStyle="1" w:styleId="TableBodyTextRight">
    <w:name w:val="Table Body Text Right"/>
    <w:basedOn w:val="TableBodyText"/>
    <w:rsid w:val="006C16FC"/>
    <w:pPr>
      <w:widowControl w:val="0"/>
      <w:autoSpaceDE w:val="0"/>
      <w:autoSpaceDN w:val="0"/>
      <w:adjustRightInd w:val="0"/>
      <w:jc w:val="right"/>
    </w:pPr>
    <w:rPr>
      <w:rFonts w:cs="Arial"/>
      <w:szCs w:val="18"/>
    </w:rPr>
  </w:style>
  <w:style w:type="paragraph" w:customStyle="1" w:styleId="CopyrightText">
    <w:name w:val="Copyright Text"/>
    <w:basedOn w:val="BodyText"/>
    <w:rsid w:val="006C16FC"/>
    <w:rPr>
      <w:sz w:val="18"/>
    </w:rPr>
  </w:style>
  <w:style w:type="paragraph" w:customStyle="1" w:styleId="BodySmallRight">
    <w:name w:val="Body Small Right"/>
    <w:basedOn w:val="BodyTextRight"/>
    <w:rsid w:val="006C16FC"/>
    <w:rPr>
      <w:sz w:val="18"/>
      <w:szCs w:val="18"/>
    </w:rPr>
  </w:style>
  <w:style w:type="paragraph" w:customStyle="1" w:styleId="MarginEdition">
    <w:name w:val="Margin Edition"/>
    <w:basedOn w:val="MarginNote"/>
    <w:rsid w:val="006C16FC"/>
    <w:pPr>
      <w:spacing w:before="0" w:after="0"/>
    </w:pPr>
    <w:rPr>
      <w:rFonts w:ascii="Times New Roman" w:hAnsi="Times New Roman"/>
      <w:color w:val="999999"/>
    </w:rPr>
  </w:style>
  <w:style w:type="paragraph" w:customStyle="1" w:styleId="Spacer">
    <w:name w:val="Spacer"/>
    <w:basedOn w:val="Normal"/>
    <w:rsid w:val="006C16FC"/>
    <w:rPr>
      <w:sz w:val="2"/>
      <w:szCs w:val="2"/>
    </w:rPr>
  </w:style>
  <w:style w:type="character" w:customStyle="1" w:styleId="Small">
    <w:name w:val="Small"/>
    <w:basedOn w:val="DefaultParagraphFont"/>
    <w:rsid w:val="006C16FC"/>
    <w:rPr>
      <w:sz w:val="16"/>
    </w:rPr>
  </w:style>
  <w:style w:type="paragraph" w:customStyle="1" w:styleId="WideTable">
    <w:name w:val="Wide Table"/>
    <w:basedOn w:val="Normal"/>
    <w:rsid w:val="006C16FC"/>
    <w:pPr>
      <w:ind w:left="-1418"/>
    </w:pPr>
    <w:rPr>
      <w:sz w:val="2"/>
      <w:szCs w:val="2"/>
    </w:rPr>
  </w:style>
  <w:style w:type="character" w:styleId="PageNumber">
    <w:name w:val="page number"/>
    <w:basedOn w:val="DefaultParagraphFont"/>
    <w:rsid w:val="006C16FC"/>
  </w:style>
  <w:style w:type="paragraph" w:styleId="Quote">
    <w:name w:val="Quote"/>
    <w:basedOn w:val="Heading1"/>
    <w:link w:val="QuoteChar"/>
    <w:qFormat/>
    <w:rsid w:val="006C16FC"/>
    <w:rPr>
      <w:b w:val="0"/>
      <w:sz w:val="72"/>
      <w:szCs w:val="72"/>
      <w:lang w:val="en-NZ"/>
    </w:rPr>
  </w:style>
  <w:style w:type="character" w:customStyle="1" w:styleId="QuoteChar">
    <w:name w:val="Quote Char"/>
    <w:basedOn w:val="DefaultParagraphFont"/>
    <w:link w:val="Quote"/>
    <w:rsid w:val="006C16F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C16FC"/>
    <w:pPr>
      <w:pageBreakBefore/>
    </w:pPr>
  </w:style>
  <w:style w:type="paragraph" w:customStyle="1" w:styleId="Border">
    <w:name w:val="Border"/>
    <w:basedOn w:val="Normal"/>
    <w:qFormat/>
    <w:rsid w:val="006C16F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C16FC"/>
    <w:rPr>
      <w:b/>
      <w:bCs/>
      <w:i/>
      <w:iCs/>
      <w:color w:val="auto"/>
    </w:rPr>
  </w:style>
  <w:style w:type="paragraph" w:styleId="IntenseQuote">
    <w:name w:val="Intense Quote"/>
    <w:basedOn w:val="Normal"/>
    <w:next w:val="Normal"/>
    <w:link w:val="IntenseQuoteChar"/>
    <w:uiPriority w:val="30"/>
    <w:qFormat/>
    <w:rsid w:val="006C16F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C16F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C16FC"/>
    <w:rPr>
      <w:smallCaps/>
      <w:color w:val="auto"/>
      <w:u w:val="single"/>
    </w:rPr>
  </w:style>
  <w:style w:type="character" w:styleId="IntenseReference">
    <w:name w:val="Intense Reference"/>
    <w:basedOn w:val="DefaultParagraphFont"/>
    <w:uiPriority w:val="32"/>
    <w:qFormat/>
    <w:rsid w:val="006C16FC"/>
    <w:rPr>
      <w:b/>
      <w:bCs/>
      <w:smallCaps/>
      <w:color w:val="auto"/>
      <w:spacing w:val="5"/>
      <w:u w:val="single"/>
    </w:rPr>
  </w:style>
  <w:style w:type="paragraph" w:customStyle="1" w:styleId="2ColumnHeading">
    <w:name w:val="2Column Heading"/>
    <w:basedOn w:val="BodyText"/>
    <w:qFormat/>
    <w:rsid w:val="006C16FC"/>
    <w:pPr>
      <w:spacing w:after="60"/>
      <w:ind w:left="-2268"/>
    </w:pPr>
    <w:rPr>
      <w:b/>
    </w:rPr>
  </w:style>
  <w:style w:type="paragraph" w:customStyle="1" w:styleId="Heading1TOC">
    <w:name w:val="Heading1 TOC"/>
    <w:basedOn w:val="Normal"/>
    <w:qFormat/>
    <w:rsid w:val="006C16FC"/>
    <w:pPr>
      <w:spacing w:before="240" w:after="120"/>
    </w:pPr>
    <w:rPr>
      <w:rFonts w:ascii="Times New Roman" w:hAnsi="Times New Roman"/>
      <w:b/>
      <w:sz w:val="32"/>
    </w:rPr>
  </w:style>
  <w:style w:type="paragraph" w:customStyle="1" w:styleId="Heading2TOC">
    <w:name w:val="Heading2 TOC"/>
    <w:basedOn w:val="Normal"/>
    <w:qFormat/>
    <w:rsid w:val="006C16FC"/>
    <w:pPr>
      <w:spacing w:before="240" w:after="60"/>
    </w:pPr>
    <w:rPr>
      <w:rFonts w:ascii="Times New Roman" w:hAnsi="Times New Roman"/>
      <w:b/>
      <w:sz w:val="28"/>
    </w:rPr>
  </w:style>
  <w:style w:type="character" w:customStyle="1" w:styleId="Underline">
    <w:name w:val="Underline"/>
    <w:basedOn w:val="DefaultParagraphFont"/>
    <w:qFormat/>
    <w:rsid w:val="006C16FC"/>
    <w:rPr>
      <w:u w:val="single"/>
    </w:rPr>
  </w:style>
  <w:style w:type="character" w:customStyle="1" w:styleId="BoldandItalics">
    <w:name w:val="Bold and Italics"/>
    <w:qFormat/>
    <w:rsid w:val="006C16FC"/>
    <w:rPr>
      <w:b/>
      <w:i/>
      <w:u w:val="none"/>
    </w:rPr>
  </w:style>
  <w:style w:type="paragraph" w:styleId="BalloonText">
    <w:name w:val="Balloon Text"/>
    <w:basedOn w:val="Normal"/>
    <w:link w:val="BalloonTextChar"/>
    <w:rsid w:val="006C16FC"/>
    <w:rPr>
      <w:rFonts w:ascii="Tahoma" w:hAnsi="Tahoma" w:cs="Tahoma"/>
      <w:sz w:val="16"/>
      <w:szCs w:val="16"/>
    </w:rPr>
  </w:style>
  <w:style w:type="character" w:customStyle="1" w:styleId="BalloonTextChar">
    <w:name w:val="Balloon Text Char"/>
    <w:basedOn w:val="DefaultParagraphFont"/>
    <w:link w:val="BalloonText"/>
    <w:rsid w:val="006C16F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C16F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C16F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C16FC"/>
    <w:rPr>
      <w:b/>
      <w:color w:val="660033"/>
      <w:spacing w:val="0"/>
    </w:rPr>
  </w:style>
  <w:style w:type="paragraph" w:customStyle="1" w:styleId="Nameditemlist">
    <w:name w:val="Named item list"/>
    <w:basedOn w:val="BodyText"/>
    <w:qFormat/>
    <w:rsid w:val="006C16FC"/>
    <w:pPr>
      <w:tabs>
        <w:tab w:val="left" w:pos="2835"/>
      </w:tabs>
      <w:ind w:left="2835" w:hanging="2835"/>
    </w:pPr>
  </w:style>
  <w:style w:type="paragraph" w:customStyle="1" w:styleId="BodyTextnopadding">
    <w:name w:val="Body Text no padding"/>
    <w:basedOn w:val="BodyText"/>
    <w:qFormat/>
    <w:rsid w:val="006C16FC"/>
    <w:pPr>
      <w:spacing w:before="0" w:after="0"/>
    </w:pPr>
  </w:style>
  <w:style w:type="paragraph" w:customStyle="1" w:styleId="BodyTextBold">
    <w:name w:val="Body Text Bold"/>
    <w:basedOn w:val="BodyText"/>
    <w:qFormat/>
    <w:rsid w:val="006C16FC"/>
    <w:rPr>
      <w:b/>
    </w:rPr>
  </w:style>
  <w:style w:type="character" w:styleId="Hyperlink">
    <w:name w:val="Hyperlink"/>
    <w:basedOn w:val="DefaultParagraphFont"/>
    <w:uiPriority w:val="99"/>
    <w:unhideWhenUsed/>
    <w:rsid w:val="00AE010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1176</Words>
  <Characters>7603</Characters>
  <Application>Microsoft Office Word</Application>
  <DocSecurity>0</DocSecurity>
  <Lines>217</Lines>
  <Paragraphs>139</Paragraphs>
  <ScaleCrop>false</ScaleCrop>
  <Company>Author-it Software Corporation Ltd.</Company>
  <LinksUpToDate>false</LinksUpToDate>
  <CharactersWithSpaces>8640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RIIMCU311D Monitor control processes</dc:title>
  <dc:subject>Approved</dc:subject>
  <dc:creator>Mining and Automotive Skills Alliance</dc:creator>
  <cp:keywords>Release: 3</cp:keywords>
  <dc:description>Review Date: 12 April 2008</dc:description>
  <cp:lastModifiedBy>HSD_TPCMSd.prod</cp:lastModifiedBy>
  <cp:revision>3</cp:revision>
  <dcterms:created xsi:type="dcterms:W3CDTF">2025-03-01T14:57:00Z</dcterms:created>
  <dcterms:modified xsi:type="dcterms:W3CDTF">2025-03-01T14:57:00Z</dcterms:modified>
</cp:coreProperties>
</file>