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380" w:rsidP="00476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RIIMCU305D Conduct outburst mining operations</w:t>
      </w:r>
      <w:r>
        <w:fldChar w:fldCharType="end"/>
      </w:r>
    </w:p>
    <w:p w:rsidR="00476380" w:rsidP="00476380">
      <w:pPr>
        <w:pStyle w:val="Version"/>
        <w:sectPr w:rsidSect="00CA5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5990" w:rsidP="00CA5990">
      <w:pPr>
        <w:pStyle w:val="SuperHeading"/>
      </w:pPr>
      <w:r w:rsidRPr="00CA5990">
        <w:t>Assessment Requirements for RIIMCU305D Conduct outburst mining operations</w:t>
      </w:r>
    </w:p>
    <w:p w:rsidR="00000000" w:rsidRPr="00CA5990" w:rsidP="00CA5990">
      <w:pPr>
        <w:pStyle w:val="Heading1"/>
      </w:pPr>
      <w:bookmarkStart w:id="1" w:name="O_689309"/>
      <w:bookmarkEnd w:id="1"/>
      <w:r w:rsidRPr="00CA5990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47638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Comment</w:t>
            </w:r>
          </w:p>
        </w:tc>
      </w:tr>
      <w:tr w:rsidTr="0047638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This unit replaces RIIMCU305A Conduct outburst mining operations</w:t>
            </w:r>
          </w:p>
        </w:tc>
      </w:tr>
      <w:tr w:rsidTr="0047638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990" w:rsidP="00CA5990">
            <w:pPr>
              <w:pStyle w:val="BodyText"/>
            </w:pPr>
            <w:r w:rsidRPr="00CA5990">
              <w:t>Required frequency and volume of evidence amended in Performance evidence.</w:t>
            </w:r>
            <w:r w:rsidRPr="00CA5990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CA5990">
              <w:t>uld be conducted and what it should confirm.</w:t>
            </w:r>
          </w:p>
        </w:tc>
      </w:tr>
    </w:tbl>
    <w:p w:rsidR="00000000" w:rsidRPr="00CA5990" w:rsidP="00CA5990">
      <w:pPr>
        <w:pStyle w:val="BodyText"/>
      </w:pPr>
    </w:p>
    <w:p w:rsidR="00000000" w:rsidRPr="00CA5990" w:rsidP="00CA5990">
      <w:pPr>
        <w:pStyle w:val="AllowPageBreak"/>
      </w:pPr>
    </w:p>
    <w:p w:rsidR="00000000" w:rsidRPr="00CA5990" w:rsidP="00CA5990">
      <w:pPr>
        <w:pStyle w:val="Heading1"/>
      </w:pPr>
      <w:bookmarkStart w:id="2" w:name="O_689308"/>
      <w:bookmarkEnd w:id="2"/>
      <w:r w:rsidRPr="00CA5990">
        <w:t>Performance Evidence</w:t>
      </w:r>
    </w:p>
    <w:p w:rsidR="00000000" w:rsidRPr="00CA5990" w:rsidP="00476380">
      <w:pPr>
        <w:pStyle w:val="BodyText"/>
      </w:pPr>
      <w:r w:rsidRPr="00CA5990">
        <w:t>Evidence is required to be collected that demonstrates a candidate’s competency in this unit. Evidence must be relevant to the roles within this sector’s work operations a</w:t>
      </w:r>
      <w:r w:rsidRPr="00CA5990">
        <w:t>nd satisfy all of the requirements of the performance criteria of this unit and include evidence that the candidate:</w:t>
      </w:r>
    </w:p>
    <w:p w:rsidR="00000000" w:rsidRPr="00CA5990" w:rsidP="00CA5990">
      <w:pPr>
        <w:pStyle w:val="ListBullet"/>
      </w:pPr>
      <w:r w:rsidRPr="00CA5990">
        <w:t>locates and applies relevant documentation, policies and procedures</w:t>
      </w:r>
    </w:p>
    <w:p w:rsidR="00000000" w:rsidRPr="00CA5990" w:rsidP="00CA5990">
      <w:pPr>
        <w:pStyle w:val="ListBullet"/>
      </w:pPr>
      <w:r w:rsidRPr="00CA5990">
        <w:t>implements the requirements, procedures and techniques for the safe, effective and efficient conducting of outburst mining operations including:</w:t>
      </w:r>
    </w:p>
    <w:p w:rsidR="00000000" w:rsidRPr="00CA5990" w:rsidP="00CA5990">
      <w:pPr>
        <w:pStyle w:val="ListBullet2"/>
      </w:pPr>
      <w:r w:rsidRPr="00CA5990">
        <w:t>reading, interpreting and applying mine rescue procedures and manager’s rules</w:t>
      </w:r>
    </w:p>
    <w:p w:rsidR="00000000" w:rsidRPr="00CA5990" w:rsidP="00CA5990">
      <w:pPr>
        <w:pStyle w:val="ListBullet2"/>
      </w:pPr>
      <w:r w:rsidRPr="00CA5990">
        <w:t>applying resuscitation</w:t>
      </w:r>
    </w:p>
    <w:p w:rsidR="00000000" w:rsidRPr="00CA5990" w:rsidP="00CA5990">
      <w:pPr>
        <w:pStyle w:val="ListBullet2"/>
      </w:pPr>
      <w:r w:rsidRPr="00CA5990">
        <w:t>testing a</w:t>
      </w:r>
      <w:r w:rsidRPr="00CA5990">
        <w:t>nd interpreting gases</w:t>
      </w:r>
    </w:p>
    <w:p w:rsidR="00000000" w:rsidRPr="00CA5990" w:rsidP="00CA5990">
      <w:pPr>
        <w:pStyle w:val="ListBullet2"/>
      </w:pPr>
      <w:r w:rsidRPr="00CA5990">
        <w:t>reading/identifying geological change</w:t>
      </w:r>
    </w:p>
    <w:p w:rsidR="00000000" w:rsidRPr="00CA5990" w:rsidP="00CA5990">
      <w:pPr>
        <w:pStyle w:val="ListBullet2"/>
      </w:pPr>
      <w:r w:rsidRPr="00CA5990">
        <w:t>operating communications system</w:t>
      </w:r>
    </w:p>
    <w:p w:rsidR="00000000" w:rsidRPr="00CA5990" w:rsidP="00CA5990">
      <w:pPr>
        <w:pStyle w:val="ListBullet2"/>
      </w:pPr>
      <w:r w:rsidRPr="00CA5990">
        <w:t>operating breathing apparatus</w:t>
      </w:r>
    </w:p>
    <w:p w:rsidR="00000000" w:rsidRPr="00CA5990" w:rsidP="00CA5990">
      <w:pPr>
        <w:pStyle w:val="ListBullet2"/>
      </w:pPr>
      <w:r w:rsidRPr="00CA5990">
        <w:t>applying rescue techniques</w:t>
      </w:r>
    </w:p>
    <w:p w:rsidR="00000000" w:rsidRPr="00CA5990" w:rsidP="00CA5990">
      <w:pPr>
        <w:pStyle w:val="ListBullet2"/>
      </w:pPr>
      <w:r w:rsidRPr="00CA5990">
        <w:t>accessing, reading and interpreting outburst management plan</w:t>
      </w:r>
    </w:p>
    <w:p w:rsidR="00000000" w:rsidRPr="00CA5990" w:rsidP="00CA5990">
      <w:pPr>
        <w:pStyle w:val="ListBullet"/>
      </w:pPr>
      <w:r w:rsidRPr="00CA5990">
        <w:t>works effectively with others to undertake an</w:t>
      </w:r>
      <w:r w:rsidRPr="00CA5990">
        <w:t>d complete outburst mining operations in a way that meets all of the required outcomes including:</w:t>
      </w:r>
    </w:p>
    <w:p w:rsidR="00000000" w:rsidRPr="00CA5990" w:rsidP="00CA5990">
      <w:pPr>
        <w:pStyle w:val="ListBullet2"/>
      </w:pPr>
      <w:r w:rsidRPr="00CA5990">
        <w:t>organising work activities to meet all task requirements</w:t>
      </w:r>
    </w:p>
    <w:p w:rsidR="00000000" w:rsidRPr="00CA5990" w:rsidP="00CA5990">
      <w:pPr>
        <w:pStyle w:val="ListBullet2"/>
      </w:pPr>
      <w:r w:rsidRPr="00CA5990">
        <w:t>communicating clearly and concisely with others to receive and clarify work instructions</w:t>
      </w:r>
    </w:p>
    <w:p w:rsidR="00000000" w:rsidRPr="00CA5990" w:rsidP="00CA5990">
      <w:pPr>
        <w:pStyle w:val="ListBullet2"/>
      </w:pPr>
      <w:r w:rsidRPr="00CA5990">
        <w:t>complying w</w:t>
      </w:r>
      <w:r w:rsidRPr="00CA5990">
        <w:t>ith written and verbal reporting requirements and procedures</w:t>
      </w:r>
    </w:p>
    <w:p w:rsidR="00000000" w:rsidRPr="00CA5990" w:rsidP="00CA5990">
      <w:pPr>
        <w:pStyle w:val="ListBullet2"/>
      </w:pPr>
      <w:r w:rsidRPr="00CA5990">
        <w:t>resolving coordination requirements throughout work activities</w:t>
      </w:r>
    </w:p>
    <w:p w:rsidR="00000000" w:rsidRPr="00CA5990" w:rsidP="00CA5990">
      <w:pPr>
        <w:pStyle w:val="ListBullet"/>
      </w:pPr>
      <w:r w:rsidRPr="00CA5990">
        <w:t>demonstrates completion of conducting outburst mining operations that safely, effectively and efficiently meets all of the required</w:t>
      </w:r>
      <w:r w:rsidRPr="00CA5990">
        <w:t xml:space="preserve"> outcomes on more than one (1) occasion including:</w:t>
      </w:r>
    </w:p>
    <w:p w:rsidR="00000000" w:rsidRPr="00CA5990" w:rsidP="00CA5990">
      <w:pPr>
        <w:pStyle w:val="ListBullet2"/>
      </w:pPr>
      <w:r w:rsidRPr="00CA5990">
        <w:t>completing strata control operations</w:t>
      </w:r>
    </w:p>
    <w:p w:rsidR="00000000" w:rsidRPr="00CA5990" w:rsidP="00CA5990">
      <w:pPr>
        <w:pStyle w:val="ListBullet2"/>
      </w:pPr>
      <w:r w:rsidRPr="00CA5990">
        <w:t>completing outburst pre-operational checks such as;</w:t>
      </w:r>
    </w:p>
    <w:p w:rsidR="00000000" w:rsidRPr="00CA5990" w:rsidP="00CA5990">
      <w:pPr>
        <w:pStyle w:val="ListBullet3"/>
      </w:pPr>
      <w:r w:rsidRPr="00CA5990">
        <w:t>emergency equipment base</w:t>
      </w:r>
    </w:p>
    <w:p w:rsidR="00000000" w:rsidRPr="00CA5990" w:rsidP="00CA5990">
      <w:pPr>
        <w:pStyle w:val="ListBullet3"/>
      </w:pPr>
      <w:r w:rsidRPr="00CA5990">
        <w:t>miner</w:t>
      </w:r>
    </w:p>
    <w:p w:rsidR="00000000" w:rsidRPr="00CA5990" w:rsidP="00CA5990">
      <w:pPr>
        <w:pStyle w:val="ListBullet3"/>
      </w:pPr>
      <w:r w:rsidRPr="00CA5990">
        <w:t>shuttle car</w:t>
      </w:r>
    </w:p>
    <w:p w:rsidR="00000000" w:rsidRPr="00CA5990" w:rsidP="00CA5990">
      <w:pPr>
        <w:pStyle w:val="ListBullet3"/>
      </w:pPr>
      <w:r w:rsidRPr="00CA5990">
        <w:t>services</w:t>
      </w:r>
    </w:p>
    <w:p w:rsidR="00000000" w:rsidRPr="00CA5990" w:rsidP="00CA5990">
      <w:pPr>
        <w:pStyle w:val="ListBullet2"/>
      </w:pPr>
      <w:r w:rsidRPr="00CA5990">
        <w:t>monitoring environment for conditions such as;</w:t>
      </w:r>
    </w:p>
    <w:p w:rsidR="00000000" w:rsidRPr="00CA5990" w:rsidP="00CA5990">
      <w:pPr>
        <w:pStyle w:val="ListBullet3"/>
      </w:pPr>
      <w:r w:rsidRPr="00CA5990">
        <w:t>stretch marks</w:t>
      </w:r>
    </w:p>
    <w:p w:rsidR="00000000" w:rsidRPr="00CA5990" w:rsidP="00CA5990">
      <w:pPr>
        <w:pStyle w:val="ListBullet3"/>
      </w:pPr>
      <w:r w:rsidRPr="00CA5990">
        <w:t>cutters</w:t>
      </w:r>
    </w:p>
    <w:p w:rsidR="00000000" w:rsidRPr="00CA5990" w:rsidP="00CA5990">
      <w:pPr>
        <w:pStyle w:val="ListBullet3"/>
      </w:pPr>
      <w:r w:rsidRPr="00CA5990">
        <w:t>calcite bands</w:t>
      </w:r>
    </w:p>
    <w:p w:rsidR="00000000" w:rsidRPr="00CA5990" w:rsidP="00CA5990">
      <w:pPr>
        <w:pStyle w:val="ListBullet3"/>
      </w:pPr>
      <w:r w:rsidRPr="00CA5990">
        <w:t>coal changing colour</w:t>
      </w:r>
    </w:p>
    <w:p w:rsidR="00000000" w:rsidRPr="00CA5990" w:rsidP="00CA5990">
      <w:pPr>
        <w:pStyle w:val="ListBullet3"/>
      </w:pPr>
      <w:r w:rsidRPr="00CA5990">
        <w:t>mylonite</w:t>
      </w:r>
    </w:p>
    <w:p w:rsidR="00000000" w:rsidRPr="00CA5990" w:rsidP="00CA5990">
      <w:pPr>
        <w:pStyle w:val="ListBullet3"/>
      </w:pPr>
      <w:r w:rsidRPr="00CA5990">
        <w:t>coal softening/hardening</w:t>
      </w:r>
    </w:p>
    <w:p w:rsidR="00000000" w:rsidRPr="00CA5990" w:rsidP="00CA5990">
      <w:pPr>
        <w:pStyle w:val="ListBullet3"/>
      </w:pPr>
      <w:r w:rsidRPr="00CA5990">
        <w:t>dyke stringers</w:t>
      </w:r>
    </w:p>
    <w:p w:rsidR="00000000" w:rsidRPr="00CA5990" w:rsidP="00CA5990">
      <w:pPr>
        <w:pStyle w:val="ListBullet3"/>
      </w:pPr>
      <w:r w:rsidRPr="00CA5990">
        <w:t>cindered coal</w:t>
      </w:r>
    </w:p>
    <w:p w:rsidR="00000000" w:rsidRPr="00CA5990" w:rsidP="00CA5990">
      <w:pPr>
        <w:pStyle w:val="ListBullet3"/>
      </w:pPr>
      <w:r w:rsidRPr="00CA5990">
        <w:t>change in gas make/type</w:t>
      </w:r>
    </w:p>
    <w:p w:rsidR="00000000" w:rsidRPr="00CA5990" w:rsidP="00CA5990">
      <w:pPr>
        <w:pStyle w:val="AllowPageBreak"/>
      </w:pPr>
    </w:p>
    <w:p w:rsidR="00000000" w:rsidRPr="00CA5990" w:rsidP="00CA5990">
      <w:pPr>
        <w:pStyle w:val="Heading1"/>
      </w:pPr>
      <w:bookmarkStart w:id="3" w:name="O_689307"/>
      <w:bookmarkEnd w:id="3"/>
      <w:r w:rsidRPr="00CA5990">
        <w:t>Knowledge Evidence</w:t>
      </w:r>
    </w:p>
    <w:p w:rsidR="00000000" w:rsidRPr="00CA5990" w:rsidP="00476380">
      <w:pPr>
        <w:pStyle w:val="BodyText"/>
      </w:pPr>
      <w:r w:rsidRPr="00CA5990">
        <w:t>The candidate must demonstrate knowledge of conducting outburst mining operations through</w:t>
      </w:r>
      <w:r w:rsidRPr="00CA5990">
        <w:t>:</w:t>
      </w:r>
    </w:p>
    <w:p w:rsidR="00000000" w:rsidRPr="00CA5990" w:rsidP="00CA5990">
      <w:pPr>
        <w:pStyle w:val="ListBullet2"/>
      </w:pPr>
      <w:r w:rsidRPr="00CA5990">
        <w:t>operation of fresh air base/emergency equipment station</w:t>
      </w:r>
    </w:p>
    <w:p w:rsidR="00000000" w:rsidRPr="00CA5990" w:rsidP="00CA5990">
      <w:pPr>
        <w:pStyle w:val="ListBullet2"/>
      </w:pPr>
      <w:r w:rsidRPr="00CA5990">
        <w:t>geological conditions</w:t>
      </w:r>
    </w:p>
    <w:p w:rsidR="00000000" w:rsidRPr="00CA5990" w:rsidP="00CA5990">
      <w:pPr>
        <w:pStyle w:val="ListBullet2"/>
      </w:pPr>
      <w:r w:rsidRPr="00CA5990">
        <w:t>applying mining methods/sequence</w:t>
      </w:r>
    </w:p>
    <w:p w:rsidR="00000000" w:rsidRPr="00CA5990" w:rsidP="00CA5990">
      <w:pPr>
        <w:pStyle w:val="ListBullet2"/>
      </w:pPr>
      <w:r w:rsidRPr="00CA5990">
        <w:t>accessing and applying outburst manning equation</w:t>
      </w:r>
    </w:p>
    <w:p w:rsidR="00000000" w:rsidRPr="00CA5990" w:rsidP="00CA5990">
      <w:pPr>
        <w:pStyle w:val="ListBullet2"/>
      </w:pPr>
      <w:r w:rsidRPr="00CA5990">
        <w:t>accessing and applying pre-drilling data</w:t>
      </w:r>
    </w:p>
    <w:p w:rsidR="00000000" w:rsidRPr="00CA5990" w:rsidP="00CA5990">
      <w:pPr>
        <w:pStyle w:val="ListBullet2"/>
      </w:pPr>
      <w:r w:rsidRPr="00CA5990">
        <w:t>equipment characteristics, technical capabilities and limitations</w:t>
      </w:r>
    </w:p>
    <w:p w:rsidR="00000000" w:rsidRPr="00CA5990" w:rsidP="00CA5990">
      <w:pPr>
        <w:pStyle w:val="ListBullet2"/>
      </w:pPr>
      <w:r w:rsidRPr="00CA5990">
        <w:t>applying geological and survey data</w:t>
      </w:r>
    </w:p>
    <w:p w:rsidR="00000000" w:rsidRPr="00CA5990" w:rsidP="00CA5990">
      <w:pPr>
        <w:pStyle w:val="ListBullet2"/>
      </w:pPr>
      <w:r w:rsidRPr="00CA5990">
        <w:t>being prepared for fire/accident/emergency</w:t>
      </w:r>
    </w:p>
    <w:p w:rsidR="00000000" w:rsidRPr="00CA5990" w:rsidP="00CA5990">
      <w:pPr>
        <w:pStyle w:val="AllowPageBreak"/>
      </w:pPr>
    </w:p>
    <w:p w:rsidR="00000000" w:rsidRPr="00CA5990" w:rsidP="00CA5990">
      <w:pPr>
        <w:pStyle w:val="Heading1"/>
      </w:pPr>
      <w:bookmarkStart w:id="4" w:name="O_689306"/>
      <w:bookmarkEnd w:id="4"/>
      <w:r w:rsidRPr="00CA5990">
        <w:t>Assessment Conditions</w:t>
      </w:r>
    </w:p>
    <w:p w:rsidR="00000000" w:rsidRPr="00CA5990" w:rsidP="00CA5990">
      <w:pPr>
        <w:pStyle w:val="ListBullet"/>
      </w:pPr>
      <w:r w:rsidRPr="00CA5990">
        <w:t xml:space="preserve">An assessor of this unit must satisfy the requirements of the NVR/AQTF </w:t>
      </w:r>
      <w:r w:rsidRPr="00CA5990">
        <w:t xml:space="preserve">or their successors; and Industry regulations for certification and licensing; and, </w:t>
      </w:r>
    </w:p>
    <w:p w:rsidR="00000000" w:rsidRPr="00CA5990" w:rsidP="00CA5990">
      <w:pPr>
        <w:pStyle w:val="ListBullet"/>
      </w:pPr>
      <w:r w:rsidRPr="00CA5990">
        <w:t>this unit must be assessed in the context of this sector’s work environment; and,</w:t>
      </w:r>
    </w:p>
    <w:p w:rsidR="00000000" w:rsidRPr="00CA5990" w:rsidP="00CA5990">
      <w:pPr>
        <w:pStyle w:val="ListBullet"/>
      </w:pPr>
      <w:r w:rsidRPr="00CA5990">
        <w:t>this unit must be assessed in compliance with relevant legislation/regulation and using p</w:t>
      </w:r>
      <w:r w:rsidRPr="00CA5990">
        <w:t>olicies, procedures, processes and operational manuals directly related to the industry sector for which it is being assessed; and,</w:t>
      </w:r>
    </w:p>
    <w:p w:rsidR="00000000" w:rsidRPr="00CA5990" w:rsidP="00CA5990">
      <w:pPr>
        <w:pStyle w:val="ListBullet"/>
      </w:pPr>
      <w:r w:rsidRPr="00CA5990">
        <w:t>assessment may be conducted in conjunction with the assessment of other Units of Competency; and,</w:t>
      </w:r>
    </w:p>
    <w:p w:rsidR="00000000" w:rsidRPr="00CA5990" w:rsidP="00CA5990">
      <w:pPr>
        <w:pStyle w:val="ListBullet"/>
      </w:pPr>
      <w:r w:rsidRPr="00CA5990">
        <w:t>assessment must confirm consistent performance can be applied in a range of relevant workplace circumstances; and,</w:t>
      </w:r>
    </w:p>
    <w:p w:rsidR="00000000" w:rsidRPr="00CA5990" w:rsidP="00CA5990">
      <w:pPr>
        <w:pStyle w:val="ListBullet"/>
      </w:pPr>
      <w:r w:rsidRPr="00CA5990">
        <w:t>assessors must demonstrate the performance evidence, and knowledge evidence as outlined in this Unit of Competency, and through the minimum y</w:t>
      </w:r>
      <w:r w:rsidRPr="00CA5990">
        <w:t>ears of current* work experience specified below in an Industry sector relevant to the outcomes of the unit; or,</w:t>
      </w:r>
    </w:p>
    <w:p w:rsidR="00000000" w:rsidRPr="00CA5990" w:rsidP="00CA5990">
      <w:pPr>
        <w:pStyle w:val="ListBullet"/>
      </w:pPr>
      <w:r w:rsidRPr="00CA5990">
        <w:t>where the assessor does not meet experience requirements a co-assessment or partnership arrangement must exist between the qualified assessor a</w:t>
      </w:r>
      <w:r w:rsidRPr="00CA5990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CA5990">
        <w:t>e skills and knowledge from the minimum years of current work experience specified below in the Industry sector, including time spent in roles related to the unit being assessed; and,</w:t>
      </w:r>
    </w:p>
    <w:p w:rsidR="00000000" w:rsidRPr="00CA5990" w:rsidP="00CA5990">
      <w:pPr>
        <w:pStyle w:val="ListBullet"/>
      </w:pPr>
      <w:r w:rsidRPr="00CA5990">
        <w:t>assessor and Industry subject matter expert requirements differ dependin</w:t>
      </w:r>
      <w:r w:rsidRPr="00CA5990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Required assessor or Industry subject matter expert experience</w:t>
            </w:r>
          </w:p>
        </w:tc>
      </w:tr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Drilling, Metalliferous Mining, Coal</w:t>
            </w:r>
            <w:r w:rsidRPr="00CA5990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1 Year</w:t>
            </w:r>
          </w:p>
        </w:tc>
      </w:tr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2 Years</w:t>
            </w:r>
          </w:p>
        </w:tc>
      </w:tr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3 Years</w:t>
            </w:r>
          </w:p>
        </w:tc>
      </w:tr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5 Years</w:t>
            </w:r>
          </w:p>
        </w:tc>
      </w:tr>
      <w:tr w:rsidTr="00CA599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5990">
            <w:pPr>
              <w:pStyle w:val="BodyText"/>
              <w:rPr>
                <w:lang w:val="en-NZ"/>
              </w:rPr>
            </w:pPr>
            <w:r w:rsidRPr="00CA599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5990" w:rsidP="00CA5990">
            <w:pPr>
              <w:pStyle w:val="BodyText"/>
            </w:pPr>
            <w:r w:rsidRPr="00CA5990">
              <w:t>Where this Unit</w:t>
            </w:r>
            <w:r w:rsidRPr="00CA5990">
              <w:t xml:space="preserve"> is being assessed outside of the Resources and Infrastructure Sectors assessor and/or Industry subject matter expert experience should be in-line with industry standards for the sector in which it is being assessed and where no Industry standard is specif</w:t>
            </w:r>
            <w:r w:rsidRPr="00CA5990">
              <w:t>ied should comply with any relevant regulation.</w:t>
            </w:r>
          </w:p>
        </w:tc>
      </w:tr>
    </w:tbl>
    <w:p w:rsidR="00000000" w:rsidRPr="00CA5990" w:rsidP="00476380">
      <w:pPr>
        <w:pStyle w:val="BodyText"/>
      </w:pPr>
      <w:r w:rsidRPr="00CA5990">
        <w:t xml:space="preserve">*Assessors can demonstrate current work experience through employment within Industry in a role relevant to the outcomes of the Unit; or, for external assessors this can be demonstrated through exposure to </w:t>
      </w:r>
      <w:r w:rsidRPr="00CA5990">
        <w:t>Industry by conducting frequent site assessments across various locations.</w:t>
      </w:r>
    </w:p>
    <w:p w:rsidR="00000000" w:rsidRPr="00CA5990" w:rsidP="00476380">
      <w:pPr>
        <w:pStyle w:val="BodyText"/>
      </w:pPr>
      <w:r w:rsidRPr="00CA5990">
        <w:t>**Where a unit is being delivered outside of a Qualification the first numeric character in the Unit code should be considered to indicate the AQF level</w:t>
      </w:r>
    </w:p>
    <w:p w:rsidR="00000000" w:rsidRPr="00CA5990" w:rsidP="00CA5990">
      <w:pPr>
        <w:pStyle w:val="Heading1"/>
      </w:pPr>
      <w:bookmarkStart w:id="5" w:name="O_689320"/>
      <w:bookmarkEnd w:id="5"/>
      <w:r w:rsidRPr="00CA5990">
        <w:t>Links</w:t>
      </w:r>
    </w:p>
    <w:p w:rsidR="00000000" w:rsidRPr="00CA5990" w:rsidP="00476380">
      <w:pPr>
        <w:pStyle w:val="BodyText"/>
      </w:pPr>
      <w:r w:rsidRPr="00CA5990">
        <w:t>Compa</w:t>
      </w:r>
      <w:r w:rsidRPr="00CA599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01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A5990" w:rsidP="00CA5990"/>
    <w:sectPr w:rsidSect="00CA59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0" w:rsidRPr="00476380" w:rsidP="00476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80" w:rsidP="00CA5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380" w:rsidP="00CA5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6380" w:rsidP="00CA5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990" w:rsidRPr="00476380" w:rsidP="00476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80" w:rsidRPr="002D2AF8" w:rsidP="00CA5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RIIMCU305D Conduct outburst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76380" w:rsidP="00CA5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847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A6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26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990"/>
  </w:style>
  <w:style w:type="character" w:customStyle="1" w:styleId="Heading1Char">
    <w:name w:val="Heading 1 Char"/>
    <w:basedOn w:val="DefaultParagraphFont"/>
    <w:link w:val="Heading1"/>
    <w:rsid w:val="00CA5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9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99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59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59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5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9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5990"/>
    <w:rPr>
      <w:b/>
      <w:spacing w:val="0"/>
    </w:rPr>
  </w:style>
  <w:style w:type="paragraph" w:customStyle="1" w:styleId="SuperTitle">
    <w:name w:val="SuperTitle"/>
    <w:basedOn w:val="Title"/>
    <w:rsid w:val="00CA5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9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990"/>
    <w:rPr>
      <w:i/>
    </w:rPr>
  </w:style>
  <w:style w:type="paragraph" w:styleId="Caption">
    <w:name w:val="caption"/>
    <w:basedOn w:val="BodyText"/>
    <w:next w:val="Normal"/>
    <w:qFormat/>
    <w:rsid w:val="00CA5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990"/>
  </w:style>
  <w:style w:type="paragraph" w:styleId="TableofFigures">
    <w:name w:val="table of figures"/>
    <w:basedOn w:val="Normal"/>
    <w:next w:val="Normal"/>
    <w:semiHidden/>
    <w:rsid w:val="00CA5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9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5990"/>
    <w:rPr>
      <w:rFonts w:ascii="Wingdings" w:hAnsi="Wingdings"/>
    </w:rPr>
  </w:style>
  <w:style w:type="paragraph" w:customStyle="1" w:styleId="TableHeading">
    <w:name w:val="Table Heading"/>
    <w:basedOn w:val="HeadingBase"/>
    <w:rsid w:val="00CA5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990"/>
    <w:rPr>
      <w:color w:val="0033CC"/>
      <w:u w:val="none"/>
    </w:rPr>
  </w:style>
  <w:style w:type="paragraph" w:customStyle="1" w:styleId="BodyTextRight">
    <w:name w:val="Body Text Right"/>
    <w:basedOn w:val="BodyText"/>
    <w:rsid w:val="00CA5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9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990"/>
    <w:rPr>
      <w:sz w:val="32"/>
    </w:rPr>
  </w:style>
  <w:style w:type="paragraph" w:customStyle="1" w:styleId="HeadingProcedure">
    <w:name w:val="Heading Procedure"/>
    <w:basedOn w:val="HeadingBase"/>
    <w:next w:val="Normal"/>
    <w:rsid w:val="00CA5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990"/>
    <w:pPr>
      <w:spacing w:before="60" w:after="60"/>
    </w:pPr>
  </w:style>
  <w:style w:type="paragraph" w:styleId="ListContinue">
    <w:name w:val="List Continue"/>
    <w:basedOn w:val="List"/>
    <w:rsid w:val="00CA5990"/>
    <w:pPr>
      <w:ind w:firstLine="0"/>
    </w:pPr>
  </w:style>
  <w:style w:type="paragraph" w:customStyle="1" w:styleId="ListNote">
    <w:name w:val="List Note"/>
    <w:basedOn w:val="List"/>
    <w:rsid w:val="00CA5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990"/>
    <w:rPr>
      <w:rFonts w:ascii="Courier New" w:hAnsi="Courier New"/>
    </w:rPr>
  </w:style>
  <w:style w:type="paragraph" w:customStyle="1" w:styleId="NoteBullet">
    <w:name w:val="Note Bullet"/>
    <w:basedOn w:val="Note"/>
    <w:rsid w:val="00CA5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9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5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990"/>
    <w:rPr>
      <w:b/>
      <w:smallCaps/>
    </w:rPr>
  </w:style>
  <w:style w:type="paragraph" w:customStyle="1" w:styleId="TableListNumber">
    <w:name w:val="Table List Number"/>
    <w:basedOn w:val="ListNumber"/>
    <w:rsid w:val="00CA5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990"/>
    <w:pPr>
      <w:numPr>
        <w:numId w:val="10"/>
      </w:numPr>
    </w:pPr>
  </w:style>
  <w:style w:type="paragraph" w:customStyle="1" w:styleId="ListAlpha2">
    <w:name w:val="List Alpha 2"/>
    <w:basedOn w:val="List2"/>
    <w:rsid w:val="00CA5990"/>
    <w:pPr>
      <w:numPr>
        <w:numId w:val="9"/>
      </w:numPr>
    </w:pPr>
  </w:style>
  <w:style w:type="paragraph" w:styleId="List2">
    <w:name w:val="List 2"/>
    <w:basedOn w:val="BodyText"/>
    <w:rsid w:val="00CA5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9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59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5990"/>
    <w:pPr>
      <w:numPr>
        <w:numId w:val="5"/>
      </w:numPr>
    </w:pPr>
  </w:style>
  <w:style w:type="paragraph" w:styleId="ListContinue2">
    <w:name w:val="List Continue 2"/>
    <w:basedOn w:val="List2"/>
    <w:rsid w:val="00CA5990"/>
    <w:pPr>
      <w:ind w:firstLine="0"/>
    </w:pPr>
  </w:style>
  <w:style w:type="paragraph" w:styleId="ListContinue3">
    <w:name w:val="List Continue 3"/>
    <w:basedOn w:val="List3"/>
    <w:rsid w:val="00CA5990"/>
    <w:pPr>
      <w:ind w:left="1021" w:firstLine="0"/>
    </w:pPr>
  </w:style>
  <w:style w:type="paragraph" w:styleId="ListContinue4">
    <w:name w:val="List Continue 4"/>
    <w:basedOn w:val="List4"/>
    <w:rsid w:val="00CA5990"/>
    <w:pPr>
      <w:ind w:firstLine="0"/>
    </w:pPr>
  </w:style>
  <w:style w:type="paragraph" w:styleId="ListContinue5">
    <w:name w:val="List Continue 5"/>
    <w:basedOn w:val="List5"/>
    <w:rsid w:val="00CA5990"/>
    <w:pPr>
      <w:ind w:firstLine="0"/>
    </w:pPr>
  </w:style>
  <w:style w:type="paragraph" w:styleId="ListNumber3">
    <w:name w:val="List Number 3"/>
    <w:basedOn w:val="List3"/>
    <w:rsid w:val="00CA5990"/>
    <w:pPr>
      <w:numPr>
        <w:numId w:val="6"/>
      </w:numPr>
    </w:pPr>
  </w:style>
  <w:style w:type="paragraph" w:styleId="ListNumber4">
    <w:name w:val="List Number 4"/>
    <w:basedOn w:val="List4"/>
    <w:rsid w:val="00CA5990"/>
    <w:pPr>
      <w:numPr>
        <w:numId w:val="7"/>
      </w:numPr>
    </w:pPr>
  </w:style>
  <w:style w:type="paragraph" w:styleId="ListNumber5">
    <w:name w:val="List Number 5"/>
    <w:basedOn w:val="List5"/>
    <w:rsid w:val="00CA5990"/>
    <w:pPr>
      <w:numPr>
        <w:numId w:val="8"/>
      </w:numPr>
    </w:pPr>
  </w:style>
  <w:style w:type="paragraph" w:styleId="BlockText">
    <w:name w:val="Block Text"/>
    <w:basedOn w:val="Normal"/>
    <w:rsid w:val="00CA5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990"/>
    <w:rPr>
      <w:sz w:val="16"/>
      <w:vertAlign w:val="superscript"/>
    </w:rPr>
  </w:style>
  <w:style w:type="character" w:customStyle="1" w:styleId="Symbols">
    <w:name w:val="Symbols"/>
    <w:basedOn w:val="DefaultParagraphFont"/>
    <w:rsid w:val="00CA5990"/>
    <w:rPr>
      <w:rFonts w:ascii="Symbol" w:hAnsi="Symbol"/>
    </w:rPr>
  </w:style>
  <w:style w:type="character" w:customStyle="1" w:styleId="MenuOptions">
    <w:name w:val="Menu Options"/>
    <w:basedOn w:val="DefaultParagraphFont"/>
    <w:rsid w:val="00CA5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990"/>
    <w:rPr>
      <w:b/>
    </w:rPr>
  </w:style>
  <w:style w:type="character" w:customStyle="1" w:styleId="Underlined">
    <w:name w:val="Underlined"/>
    <w:basedOn w:val="DefaultParagraphFont"/>
    <w:rsid w:val="00CA5990"/>
    <w:rPr>
      <w:u w:val="single"/>
    </w:rPr>
  </w:style>
  <w:style w:type="paragraph" w:customStyle="1" w:styleId="TableBodyTextRight">
    <w:name w:val="Table Body Text Right"/>
    <w:basedOn w:val="TableBodyText"/>
    <w:rsid w:val="00CA5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990"/>
    <w:rPr>
      <w:sz w:val="18"/>
    </w:rPr>
  </w:style>
  <w:style w:type="paragraph" w:customStyle="1" w:styleId="BodySmallRight">
    <w:name w:val="Body Small Right"/>
    <w:basedOn w:val="BodyTextRight"/>
    <w:rsid w:val="00CA5990"/>
    <w:rPr>
      <w:sz w:val="18"/>
      <w:szCs w:val="18"/>
    </w:rPr>
  </w:style>
  <w:style w:type="paragraph" w:customStyle="1" w:styleId="MarginEdition">
    <w:name w:val="Margin Edition"/>
    <w:basedOn w:val="MarginNote"/>
    <w:rsid w:val="00CA5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990"/>
    <w:rPr>
      <w:sz w:val="2"/>
      <w:szCs w:val="2"/>
    </w:rPr>
  </w:style>
  <w:style w:type="character" w:customStyle="1" w:styleId="Small">
    <w:name w:val="Small"/>
    <w:basedOn w:val="DefaultParagraphFont"/>
    <w:rsid w:val="00CA5990"/>
    <w:rPr>
      <w:sz w:val="16"/>
    </w:rPr>
  </w:style>
  <w:style w:type="paragraph" w:customStyle="1" w:styleId="WideTable">
    <w:name w:val="Wide Table"/>
    <w:basedOn w:val="Normal"/>
    <w:rsid w:val="00CA5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990"/>
  </w:style>
  <w:style w:type="paragraph" w:styleId="Quote">
    <w:name w:val="Quote"/>
    <w:basedOn w:val="Heading1"/>
    <w:link w:val="QuoteChar"/>
    <w:qFormat/>
    <w:rsid w:val="00CA5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990"/>
    <w:pPr>
      <w:pageBreakBefore/>
    </w:pPr>
  </w:style>
  <w:style w:type="paragraph" w:customStyle="1" w:styleId="Border">
    <w:name w:val="Border"/>
    <w:basedOn w:val="Normal"/>
    <w:qFormat/>
    <w:rsid w:val="00CA5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990"/>
    <w:rPr>
      <w:u w:val="single"/>
    </w:rPr>
  </w:style>
  <w:style w:type="character" w:customStyle="1" w:styleId="BoldandItalics">
    <w:name w:val="Bold and Italics"/>
    <w:qFormat/>
    <w:rsid w:val="00CA5990"/>
    <w:rPr>
      <w:b/>
      <w:i/>
      <w:u w:val="none"/>
    </w:rPr>
  </w:style>
  <w:style w:type="paragraph" w:styleId="BalloonText">
    <w:name w:val="Balloon Text"/>
    <w:basedOn w:val="Normal"/>
    <w:link w:val="BalloonTextChar"/>
    <w:rsid w:val="00CA5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990"/>
    <w:pPr>
      <w:spacing w:before="0" w:after="0"/>
    </w:pPr>
  </w:style>
  <w:style w:type="paragraph" w:customStyle="1" w:styleId="BodyTextBold">
    <w:name w:val="Body Text Bold"/>
    <w:basedOn w:val="BodyText"/>
    <w:qFormat/>
    <w:rsid w:val="00CA5990"/>
    <w:rPr>
      <w:b/>
    </w:rPr>
  </w:style>
  <w:style w:type="character" w:styleId="Hyperlink">
    <w:name w:val="Hyperlink"/>
    <w:basedOn w:val="DefaultParagraphFont"/>
    <w:uiPriority w:val="99"/>
    <w:unhideWhenUsed/>
    <w:rsid w:val="00476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5158</Characters>
  <Application>Microsoft Office Word</Application>
  <DocSecurity>0</DocSecurity>
  <Lines>143</Lines>
  <Paragraphs>97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RIIMCU305D Conduct outburst mining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2020-07-08T06:08:00Z</dcterms:created>
  <dcterms:modified xsi:type="dcterms:W3CDTF">2020-07-08T06:08:00Z</dcterms:modified>
</cp:coreProperties>
</file>