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4E97" w:rsidP="009F4E97">
      <w:pPr>
        <w:pStyle w:val="Title"/>
      </w:pPr>
      <w:r>
        <w:fldChar w:fldCharType="begin"/>
      </w:r>
      <w:r>
        <w:instrText xml:space="preserve"> TITLE   \* MERGEFORMAT </w:instrText>
      </w:r>
      <w:r>
        <w:fldChar w:fldCharType="separate"/>
      </w:r>
      <w:r>
        <w:t>Assessment Requirements for RIIHAN309D Conduct telescopic materials handler operations</w:t>
      </w:r>
      <w:r>
        <w:fldChar w:fldCharType="end"/>
      </w:r>
    </w:p>
    <w:p w:rsidR="009F4E97" w:rsidP="009F4E97">
      <w:pPr>
        <w:pStyle w:val="Version"/>
        <w:sectPr w:rsidSect="002A3D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2A3D70" w:rsidP="002A3D70">
      <w:pPr>
        <w:pStyle w:val="SuperHeading"/>
      </w:pPr>
      <w:r w:rsidRPr="002A3D70">
        <w:t>Assessment Requirements for RIIHAN309D Conduct telescopic materials handler operations</w:t>
      </w:r>
    </w:p>
    <w:p w:rsidR="00000000" w:rsidRPr="002A3D70" w:rsidP="002A3D70">
      <w:pPr>
        <w:pStyle w:val="Heading1"/>
      </w:pPr>
      <w:bookmarkStart w:id="1" w:name="O_688520"/>
      <w:bookmarkEnd w:id="1"/>
      <w:r w:rsidRPr="002A3D70">
        <w:t>Modification History</w:t>
      </w:r>
    </w:p>
    <w:tbl>
      <w:tblPr>
        <w:tblW w:w="9630" w:type="dxa"/>
        <w:tblLayout w:type="fixed"/>
        <w:tblCellMar>
          <w:left w:w="62" w:type="dxa"/>
          <w:right w:w="62" w:type="dxa"/>
        </w:tblCellMar>
        <w:tblLook w:val="0000"/>
      </w:tblPr>
      <w:tblGrid>
        <w:gridCol w:w="1350"/>
        <w:gridCol w:w="8280"/>
      </w:tblGrid>
      <w:tr w:rsidTr="009F4E97">
        <w:tblPrEx>
          <w:tblW w:w="9630" w:type="dxa"/>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D70">
            <w:pPr>
              <w:pStyle w:val="BodyText"/>
              <w:rPr>
                <w:lang w:val="en-NZ"/>
              </w:rPr>
            </w:pPr>
            <w:r w:rsidRPr="002A3D70">
              <w:t>Release</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D70">
            <w:pPr>
              <w:pStyle w:val="BodyText"/>
              <w:rPr>
                <w:lang w:val="en-NZ"/>
              </w:rPr>
            </w:pPr>
            <w:r w:rsidRPr="002A3D70">
              <w:t>Comment</w:t>
            </w:r>
          </w:p>
        </w:tc>
      </w:tr>
      <w:tr w:rsidTr="009F4E97">
        <w:tblPrEx>
          <w:tblW w:w="9630" w:type="dxa"/>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D70">
            <w:pPr>
              <w:pStyle w:val="BodyText"/>
              <w:rPr>
                <w:lang w:val="en-NZ"/>
              </w:rPr>
            </w:pPr>
            <w:r w:rsidRPr="002A3D70">
              <w:t>1</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D70">
            <w:pPr>
              <w:pStyle w:val="BodyText"/>
              <w:rPr>
                <w:lang w:val="en-NZ"/>
              </w:rPr>
            </w:pPr>
            <w:r w:rsidRPr="002A3D70">
              <w:t>This unit replaces RIIHAN309A Conduct telescopic materials handler operations.</w:t>
            </w:r>
          </w:p>
        </w:tc>
      </w:tr>
      <w:tr w:rsidTr="009F4E97">
        <w:tblPrEx>
          <w:tblW w:w="9630" w:type="dxa"/>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D70">
            <w:pPr>
              <w:pStyle w:val="BodyText"/>
              <w:rPr>
                <w:lang w:val="en-NZ"/>
              </w:rPr>
            </w:pPr>
            <w:r w:rsidRPr="002A3D70">
              <w:t>2</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3D70" w:rsidP="002A3D70">
            <w:pPr>
              <w:pStyle w:val="BodyText"/>
            </w:pPr>
            <w:r w:rsidRPr="002A3D70">
              <w:t>Editorial corrections</w:t>
            </w:r>
          </w:p>
          <w:p w:rsidR="00000000" w:rsidRPr="002A3D70" w:rsidP="002A3D70">
            <w:pPr>
              <w:pStyle w:val="BodyText"/>
            </w:pPr>
            <w:r w:rsidRPr="002A3D70">
              <w:t>Amended Application</w:t>
            </w:r>
          </w:p>
          <w:p w:rsidR="00000000" w:rsidP="002A3D70">
            <w:pPr>
              <w:pStyle w:val="BodyText"/>
              <w:rPr>
                <w:lang w:val="en-NZ"/>
              </w:rPr>
            </w:pPr>
            <w:r w:rsidRPr="002A3D70">
              <w:t>Inserted Modification History</w:t>
            </w:r>
          </w:p>
        </w:tc>
      </w:tr>
      <w:tr w:rsidTr="009F4E97">
        <w:tblPrEx>
          <w:tblW w:w="9630" w:type="dxa"/>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D70">
            <w:pPr>
              <w:pStyle w:val="BodyText"/>
              <w:rPr>
                <w:lang w:val="en-NZ"/>
              </w:rPr>
            </w:pPr>
            <w:r w:rsidRPr="002A3D70">
              <w:t>3</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D70">
            <w:pPr>
              <w:pStyle w:val="BodyText"/>
              <w:rPr>
                <w:lang w:val="en-NZ"/>
              </w:rPr>
            </w:pPr>
            <w:r w:rsidRPr="002A3D70">
              <w:t>Amend reference to Licensing requirements in Unit Application</w:t>
            </w:r>
          </w:p>
        </w:tc>
      </w:tr>
      <w:tr w:rsidTr="009F4E97">
        <w:tblPrEx>
          <w:tblW w:w="9630" w:type="dxa"/>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D70">
            <w:pPr>
              <w:pStyle w:val="BodyText"/>
              <w:rPr>
                <w:lang w:val="en-NZ"/>
              </w:rPr>
            </w:pPr>
            <w:r w:rsidRPr="002A3D70">
              <w:t>4</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3D70" w:rsidP="002A3D70">
            <w:pPr>
              <w:pStyle w:val="BodyText"/>
            </w:pPr>
            <w:r w:rsidRPr="002A3D70">
              <w:t>Required frequency and volume of evidence amended in Performance evidence.</w:t>
            </w:r>
          </w:p>
          <w:p w:rsidR="00000000" w:rsidRPr="002A3D70" w:rsidP="002A3D70">
            <w:pPr>
              <w:pStyle w:val="BodyText"/>
            </w:pPr>
            <w:r w:rsidRPr="002A3D70">
              <w:t>Substantial amendments made in Assessment Conditions field, inc</w:t>
            </w:r>
            <w:r w:rsidRPr="002A3D70">
              <w:t>luding: references to Industry Sectors, assessor and subject matter expert experience requirements, how assessment should be conducted and what it should confirm.</w:t>
            </w:r>
          </w:p>
        </w:tc>
      </w:tr>
    </w:tbl>
    <w:p w:rsidR="00000000" w:rsidRPr="002A3D70" w:rsidP="002A3D70">
      <w:pPr>
        <w:pStyle w:val="BodyText"/>
      </w:pPr>
    </w:p>
    <w:p w:rsidR="00000000" w:rsidRPr="002A3D70" w:rsidP="002A3D70">
      <w:pPr>
        <w:pStyle w:val="AllowPageBreak"/>
      </w:pPr>
    </w:p>
    <w:p w:rsidR="00000000" w:rsidRPr="002A3D70" w:rsidP="002A3D70">
      <w:pPr>
        <w:pStyle w:val="Heading1"/>
      </w:pPr>
      <w:bookmarkStart w:id="2" w:name="O_688519"/>
      <w:bookmarkEnd w:id="2"/>
      <w:r w:rsidRPr="002A3D70">
        <w:t>Performance Evidence</w:t>
      </w:r>
    </w:p>
    <w:p w:rsidR="00000000" w:rsidRPr="002A3D70" w:rsidP="002A3D70">
      <w:pPr>
        <w:pStyle w:val="BodyText"/>
      </w:pPr>
      <w:r w:rsidRPr="002A3D70">
        <w:t>Evidence is required to be collected that demonstrates a candidate’s competency in this unit. Evidence must be relevant to the roles within this sector’s work operations and satisfy all of the requirements of the performance criteria of this unit and inclu</w:t>
      </w:r>
      <w:r w:rsidRPr="002A3D70">
        <w:t>de evidence that the candidate:</w:t>
      </w:r>
    </w:p>
    <w:p w:rsidR="00000000" w:rsidRPr="002A3D70" w:rsidP="002A3D70">
      <w:pPr>
        <w:pStyle w:val="ListBullet"/>
      </w:pPr>
      <w:r w:rsidRPr="002A3D70">
        <w:t>locates and applies relevant documentation, policies and procedures</w:t>
      </w:r>
    </w:p>
    <w:p w:rsidR="00000000" w:rsidRPr="002A3D70" w:rsidP="002A3D70">
      <w:pPr>
        <w:pStyle w:val="ListBullet"/>
      </w:pPr>
      <w:r w:rsidRPr="002A3D70">
        <w:t>implements the requirements, procedures and techniques for the safe, effective and efficient completion of conducting telescopic materials handler operatio</w:t>
      </w:r>
      <w:r w:rsidRPr="002A3D70">
        <w:t>ns including:</w:t>
      </w:r>
    </w:p>
    <w:p w:rsidR="00000000" w:rsidRPr="002A3D70" w:rsidP="002A3D70">
      <w:pPr>
        <w:pStyle w:val="ListBullet2"/>
      </w:pPr>
      <w:r w:rsidRPr="002A3D70">
        <w:t>applying operational safety</w:t>
      </w:r>
    </w:p>
    <w:p w:rsidR="00000000" w:rsidRPr="002A3D70" w:rsidP="002A3D70">
      <w:pPr>
        <w:pStyle w:val="ListBullet2"/>
      </w:pPr>
      <w:r w:rsidRPr="002A3D70">
        <w:t>accessing, interpreting and applying technical information</w:t>
      </w:r>
    </w:p>
    <w:p w:rsidR="00000000" w:rsidRPr="002A3D70" w:rsidP="002A3D70">
      <w:pPr>
        <w:pStyle w:val="ListBullet2"/>
      </w:pPr>
      <w:r w:rsidRPr="002A3D70">
        <w:t>calculating volume and weights</w:t>
      </w:r>
    </w:p>
    <w:p w:rsidR="00000000" w:rsidRPr="002A3D70" w:rsidP="002A3D70">
      <w:pPr>
        <w:pStyle w:val="ListBullet2"/>
      </w:pPr>
      <w:r w:rsidRPr="002A3D70">
        <w:t>maintaining equipment written records</w:t>
      </w:r>
    </w:p>
    <w:p w:rsidR="00000000" w:rsidRPr="002A3D70" w:rsidP="002A3D70">
      <w:pPr>
        <w:pStyle w:val="ListBullet2"/>
      </w:pPr>
      <w:r w:rsidRPr="002A3D70">
        <w:t>applying fault finding techniques</w:t>
      </w:r>
    </w:p>
    <w:p w:rsidR="00000000" w:rsidRPr="002A3D70" w:rsidP="002A3D70">
      <w:pPr>
        <w:pStyle w:val="ListBullet2"/>
      </w:pPr>
      <w:r w:rsidRPr="002A3D70">
        <w:t xml:space="preserve">accessing, interpreting and applying environmental </w:t>
      </w:r>
      <w:r w:rsidRPr="002A3D70">
        <w:t>management plan</w:t>
      </w:r>
    </w:p>
    <w:p w:rsidR="00000000" w:rsidRPr="002A3D70" w:rsidP="002A3D70">
      <w:pPr>
        <w:pStyle w:val="ListBullet2"/>
      </w:pPr>
      <w:r w:rsidRPr="002A3D70">
        <w:t>carrying out machine operator maintenance</w:t>
      </w:r>
    </w:p>
    <w:p w:rsidR="00000000" w:rsidRPr="002A3D70" w:rsidP="002A3D70">
      <w:pPr>
        <w:pStyle w:val="ListBullet"/>
      </w:pPr>
      <w:r w:rsidRPr="002A3D70">
        <w:t>works effectively with others to undertake and complete the conducting of telescopic materials handler operations that meets all the required outcomes including:</w:t>
      </w:r>
    </w:p>
    <w:p w:rsidR="00000000" w:rsidRPr="002A3D70" w:rsidP="002A3D70">
      <w:pPr>
        <w:pStyle w:val="ListBullet2"/>
      </w:pPr>
      <w:r w:rsidRPr="002A3D70">
        <w:t xml:space="preserve">complying with written and verbal </w:t>
      </w:r>
      <w:r w:rsidRPr="002A3D70">
        <w:t>reporting requirements and procedures</w:t>
      </w:r>
    </w:p>
    <w:p w:rsidR="00000000" w:rsidRPr="002A3D70" w:rsidP="002A3D70">
      <w:pPr>
        <w:pStyle w:val="ListBullet2"/>
      </w:pPr>
      <w:r w:rsidRPr="002A3D70">
        <w:t>communicating clearly and concisely with others to receive and clarify work instructions</w:t>
      </w:r>
    </w:p>
    <w:p w:rsidR="00000000" w:rsidRPr="002A3D70" w:rsidP="002A3D70">
      <w:pPr>
        <w:pStyle w:val="ListBullet2"/>
      </w:pPr>
      <w:r w:rsidRPr="002A3D70">
        <w:t>using load handling communication methods with all parties</w:t>
      </w:r>
    </w:p>
    <w:p w:rsidR="00000000" w:rsidRPr="002A3D70" w:rsidP="002A3D70">
      <w:pPr>
        <w:pStyle w:val="ListBullet2"/>
      </w:pPr>
      <w:r w:rsidRPr="002A3D70">
        <w:t>using conventional hand and audible signals</w:t>
      </w:r>
    </w:p>
    <w:p w:rsidR="00000000" w:rsidRPr="002A3D70" w:rsidP="002A3D70">
      <w:pPr>
        <w:pStyle w:val="ListBullet"/>
      </w:pPr>
      <w:r w:rsidRPr="002A3D70">
        <w:t>demonstrates completion of conducting telescopic materials handler operations that safely, effectively and efficiently meets all of the required outcomes on more than one (1) occasion including:</w:t>
      </w:r>
    </w:p>
    <w:p w:rsidR="00000000" w:rsidRPr="002A3D70" w:rsidP="002A3D70">
      <w:pPr>
        <w:pStyle w:val="ListBullet2"/>
      </w:pPr>
      <w:r w:rsidRPr="002A3D70">
        <w:t>performing pre-start, start-up, park-up and shutdown procedu</w:t>
      </w:r>
      <w:r w:rsidRPr="002A3D70">
        <w:t xml:space="preserve">res </w:t>
      </w:r>
    </w:p>
    <w:p w:rsidR="00000000" w:rsidRPr="002A3D70" w:rsidP="002A3D70">
      <w:pPr>
        <w:pStyle w:val="ListBullet2"/>
      </w:pPr>
      <w:r w:rsidRPr="002A3D70">
        <w:t>checking controls, brakes and attachments for manoeuvrability and serviceability and rectifying or reporting faults</w:t>
      </w:r>
    </w:p>
    <w:p w:rsidR="00000000" w:rsidRPr="002A3D70" w:rsidP="002A3D70">
      <w:pPr>
        <w:pStyle w:val="ListBullet2"/>
      </w:pPr>
      <w:r w:rsidRPr="002A3D70">
        <w:t>operating the telescopic materials handler</w:t>
      </w:r>
    </w:p>
    <w:p w:rsidR="00000000" w:rsidRPr="002A3D70" w:rsidP="002A3D70">
      <w:pPr>
        <w:pStyle w:val="ListBullet2"/>
      </w:pPr>
      <w:r w:rsidRPr="002A3D70">
        <w:t>selecting, attaching and securing appropriate slings and lifting gear</w:t>
      </w:r>
    </w:p>
    <w:p w:rsidR="00000000" w:rsidRPr="002A3D70" w:rsidP="002A3D70">
      <w:pPr>
        <w:pStyle w:val="ListBullet2"/>
      </w:pPr>
      <w:r w:rsidRPr="002A3D70">
        <w:t>shifting the load</w:t>
      </w:r>
    </w:p>
    <w:p w:rsidR="00000000" w:rsidRPr="002A3D70" w:rsidP="002A3D70">
      <w:pPr>
        <w:pStyle w:val="ListBullet2"/>
      </w:pPr>
      <w:r w:rsidRPr="002A3D70">
        <w:t>sele</w:t>
      </w:r>
      <w:r w:rsidRPr="002A3D70">
        <w:t>cting, removing and fitting attachments</w:t>
      </w:r>
    </w:p>
    <w:p w:rsidR="00000000" w:rsidRPr="002A3D70" w:rsidP="002A3D70">
      <w:pPr>
        <w:pStyle w:val="ListBullet2"/>
      </w:pPr>
      <w:r w:rsidRPr="002A3D70">
        <w:t>transporting the machine and equipment between work sites</w:t>
      </w:r>
    </w:p>
    <w:p w:rsidR="00000000" w:rsidRPr="002A3D70" w:rsidP="002A3D70">
      <w:pPr>
        <w:pStyle w:val="AllowPageBreak"/>
      </w:pPr>
    </w:p>
    <w:p w:rsidR="00000000" w:rsidRPr="002A3D70" w:rsidP="002A3D70">
      <w:pPr>
        <w:pStyle w:val="Heading1"/>
      </w:pPr>
      <w:bookmarkStart w:id="3" w:name="O_688518"/>
      <w:bookmarkEnd w:id="3"/>
      <w:r w:rsidRPr="002A3D70">
        <w:t>Knowledge Evidence</w:t>
      </w:r>
    </w:p>
    <w:p w:rsidR="00000000" w:rsidRPr="002A3D70" w:rsidP="002A3D70">
      <w:pPr>
        <w:pStyle w:val="BodyText"/>
      </w:pPr>
      <w:r w:rsidRPr="002A3D70">
        <w:t>The candidate must demonstrate knowledge of the following when conducting telescopic materials handler operations:</w:t>
      </w:r>
    </w:p>
    <w:p w:rsidR="00000000" w:rsidRPr="002A3D70" w:rsidP="002A3D70">
      <w:pPr>
        <w:pStyle w:val="ListBullet"/>
      </w:pPr>
      <w:r w:rsidRPr="002A3D70">
        <w:t>telescopic materials handler types, characteristics, technical capabilities and limitations</w:t>
      </w:r>
    </w:p>
    <w:p w:rsidR="00000000" w:rsidRPr="002A3D70" w:rsidP="002A3D70">
      <w:pPr>
        <w:pStyle w:val="ListBullet"/>
      </w:pPr>
      <w:r w:rsidRPr="002A3D70">
        <w:t>techniques for calculating safe working loads</w:t>
      </w:r>
    </w:p>
    <w:p w:rsidR="00000000" w:rsidRPr="002A3D70" w:rsidP="002A3D70">
      <w:pPr>
        <w:pStyle w:val="ListBullet"/>
      </w:pPr>
      <w:r w:rsidRPr="002A3D70">
        <w:t>telescopic materials handler and attachment operating techniques related to essential tasks</w:t>
      </w:r>
    </w:p>
    <w:p w:rsidR="00000000" w:rsidRPr="002A3D70" w:rsidP="002A3D70">
      <w:pPr>
        <w:pStyle w:val="ListBullet"/>
      </w:pPr>
      <w:r w:rsidRPr="002A3D70">
        <w:t>isolation and traffic cont</w:t>
      </w:r>
      <w:r w:rsidRPr="002A3D70">
        <w:t>rol responsibilities and authorities</w:t>
      </w:r>
    </w:p>
    <w:p w:rsidR="00000000" w:rsidRPr="002A3D70" w:rsidP="002A3D70">
      <w:pPr>
        <w:pStyle w:val="ListBullet"/>
      </w:pPr>
      <w:r w:rsidRPr="002A3D70">
        <w:t>safety data sheet and materials handling methods</w:t>
      </w:r>
    </w:p>
    <w:p w:rsidR="00000000" w:rsidRPr="002A3D70" w:rsidP="002A3D70">
      <w:pPr>
        <w:pStyle w:val="ListBullet"/>
      </w:pPr>
      <w:r w:rsidRPr="002A3D70">
        <w:t>methods of changing machine attachments</w:t>
      </w:r>
    </w:p>
    <w:p w:rsidR="00000000" w:rsidRPr="002A3D70" w:rsidP="002A3D70">
      <w:pPr>
        <w:pStyle w:val="ListBullet"/>
      </w:pPr>
      <w:r w:rsidRPr="002A3D70">
        <w:t>safe operating techniques in varying terrain</w:t>
      </w:r>
    </w:p>
    <w:p w:rsidR="00000000" w:rsidRPr="002A3D70" w:rsidP="002A3D70">
      <w:pPr>
        <w:pStyle w:val="ListBullet"/>
      </w:pPr>
      <w:r w:rsidRPr="002A3D70">
        <w:t>basic earthworks calculations</w:t>
      </w:r>
    </w:p>
    <w:p w:rsidR="00000000" w:rsidRPr="002A3D70" w:rsidP="002A3D70">
      <w:pPr>
        <w:pStyle w:val="ListBullet"/>
      </w:pPr>
      <w:r w:rsidRPr="002A3D70">
        <w:t>levelling techniques</w:t>
      </w:r>
    </w:p>
    <w:p w:rsidR="00000000" w:rsidRPr="002A3D70" w:rsidP="002A3D70">
      <w:pPr>
        <w:pStyle w:val="ListBullet"/>
      </w:pPr>
      <w:r w:rsidRPr="002A3D70">
        <w:t>JSA’s/safe work method statement</w:t>
      </w:r>
    </w:p>
    <w:p w:rsidR="00000000" w:rsidRPr="002A3D70" w:rsidP="002A3D70">
      <w:pPr>
        <w:pStyle w:val="AllowPageBreak"/>
      </w:pPr>
    </w:p>
    <w:p w:rsidR="00000000" w:rsidRPr="002A3D70" w:rsidP="002A3D70">
      <w:pPr>
        <w:pStyle w:val="Heading1"/>
      </w:pPr>
      <w:bookmarkStart w:id="4" w:name="O_688517"/>
      <w:bookmarkEnd w:id="4"/>
      <w:r w:rsidRPr="002A3D70">
        <w:t>Assessment Conditions</w:t>
      </w:r>
    </w:p>
    <w:p w:rsidR="00000000" w:rsidRPr="002A3D70" w:rsidP="002A3D70">
      <w:pPr>
        <w:pStyle w:val="ListBullet"/>
      </w:pPr>
      <w:r w:rsidRPr="002A3D70">
        <w:t xml:space="preserve">An assessor of this unit must satisfy the requirements of the NVR/AQTF or their successors; and Industry regulations for certification and licensing; and, </w:t>
      </w:r>
    </w:p>
    <w:p w:rsidR="00000000" w:rsidRPr="002A3D70" w:rsidP="002A3D70">
      <w:pPr>
        <w:pStyle w:val="ListBullet"/>
      </w:pPr>
      <w:r w:rsidRPr="002A3D70">
        <w:t>this unit is best assessed in the context of this sector’s wo</w:t>
      </w:r>
      <w:r w:rsidRPr="002A3D70">
        <w:t>rk environment;</w:t>
      </w:r>
    </w:p>
    <w:p w:rsidR="00000000" w:rsidRPr="002A3D70" w:rsidP="002A3D70">
      <w:pPr>
        <w:pStyle w:val="ListBullet"/>
      </w:pPr>
      <w:r w:rsidRPr="002A3D70">
        <w:t>where personal safety or environmental damage are limiting factors, assessment may occur in a simulated environment provided it is realistic and sufficiently rigorous to cover all aspects of this sector’s workplace performance, including en</w:t>
      </w:r>
      <w:r w:rsidRPr="002A3D70">
        <w:t>vironment, task skills, task management skills, contingency management skills and job role environment skills; and,</w:t>
      </w:r>
    </w:p>
    <w:p w:rsidR="00000000" w:rsidRPr="002A3D70" w:rsidP="002A3D70">
      <w:pPr>
        <w:pStyle w:val="ListBullet"/>
      </w:pPr>
      <w:r w:rsidRPr="002A3D70">
        <w:t>this unit must be assessed in compliance with relevant legislation/regulation and using policies, procedures, processes and operational manu</w:t>
      </w:r>
      <w:r w:rsidRPr="002A3D70">
        <w:t>als directly related to the industry sector for which it is being assessed; and,</w:t>
      </w:r>
    </w:p>
    <w:p w:rsidR="00000000" w:rsidRPr="002A3D70" w:rsidP="002A3D70">
      <w:pPr>
        <w:pStyle w:val="ListBullet"/>
      </w:pPr>
      <w:r w:rsidRPr="002A3D70">
        <w:t>assessment may be conducted in conjunction with the assessment of other Units of Competency; and,</w:t>
      </w:r>
    </w:p>
    <w:p w:rsidR="00000000" w:rsidRPr="002A3D70" w:rsidP="002A3D70">
      <w:pPr>
        <w:pStyle w:val="ListBullet"/>
      </w:pPr>
      <w:r w:rsidRPr="002A3D70">
        <w:t>assessment must confirm consistent performance can be applied in a range of r</w:t>
      </w:r>
      <w:r w:rsidRPr="002A3D70">
        <w:t>elevant workplace circumstances; and,</w:t>
      </w:r>
    </w:p>
    <w:p w:rsidR="00000000" w:rsidRPr="002A3D70" w:rsidP="002A3D70">
      <w:pPr>
        <w:pStyle w:val="ListBullet"/>
      </w:pPr>
      <w:r w:rsidRPr="002A3D70">
        <w:t>assessors must demonstrate the performance evidence, and knowledge evidence as outlined in this Unit of Competency, and through the minimum years of current* work experience specified below in an Industry sector releva</w:t>
      </w:r>
      <w:r w:rsidRPr="002A3D70">
        <w:t>nt to the outcomes of the unit; or,</w:t>
      </w:r>
    </w:p>
    <w:p w:rsidR="00000000" w:rsidRPr="002A3D70" w:rsidP="002A3D70">
      <w:pPr>
        <w:pStyle w:val="ListBullet"/>
      </w:pPr>
      <w:r w:rsidRPr="002A3D70">
        <w:t>where the assessor does not meet experience requirements a co-assessment or partnership arrangement must exist between the qualified assessor and an Industry subject matter expert. The Industry subject matter expert shou</w:t>
      </w:r>
      <w:r w:rsidRPr="002A3D70">
        <w:t>ld hold the unit being assessed (or an equivalent unit) and/or demonstrate equivalence of skills and knowledge at the unit level. An Industry technical expert must also demonstrate skills and knowledge from the minimum years of current work experience spec</w:t>
      </w:r>
      <w:r w:rsidRPr="002A3D70">
        <w:t>ified below in the Industry sector, including time spent in roles related to the unit being assessed; and,</w:t>
      </w:r>
    </w:p>
    <w:p w:rsidR="00000000" w:rsidRPr="002A3D70" w:rsidP="002A3D70">
      <w:pPr>
        <w:pStyle w:val="ListBullet"/>
      </w:pPr>
      <w:r w:rsidRPr="002A3D70">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2A3D7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3D70">
            <w:pPr>
              <w:pStyle w:val="BodyText"/>
              <w:rPr>
                <w:lang w:val="en-NZ"/>
              </w:rPr>
            </w:pPr>
            <w:r w:rsidRPr="002A3D7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3D70">
            <w:pPr>
              <w:pStyle w:val="BodyText"/>
              <w:rPr>
                <w:lang w:val="en-NZ"/>
              </w:rPr>
            </w:pPr>
            <w:r w:rsidRPr="002A3D70">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3D70">
            <w:pPr>
              <w:pStyle w:val="BodyText"/>
              <w:rPr>
                <w:lang w:val="en-NZ"/>
              </w:rPr>
            </w:pPr>
            <w:r w:rsidRPr="002A3D70">
              <w:t>Required assessor or Industr</w:t>
            </w:r>
            <w:r w:rsidRPr="002A3D70">
              <w:t>y subject matter expert experience</w:t>
            </w:r>
          </w:p>
        </w:tc>
      </w:tr>
      <w:tr w:rsidTr="002A3D70">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3D70">
            <w:pPr>
              <w:pStyle w:val="BodyText"/>
              <w:rPr>
                <w:lang w:val="en-NZ"/>
              </w:rPr>
            </w:pPr>
            <w:r w:rsidRPr="002A3D70">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3D70">
            <w:pPr>
              <w:pStyle w:val="BodyText"/>
              <w:rPr>
                <w:lang w:val="en-NZ"/>
              </w:rPr>
            </w:pPr>
            <w:r w:rsidRPr="002A3D7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3D70">
            <w:pPr>
              <w:pStyle w:val="BodyText"/>
              <w:rPr>
                <w:lang w:val="en-NZ"/>
              </w:rPr>
            </w:pPr>
            <w:r w:rsidRPr="002A3D70">
              <w:t>1 Year</w:t>
            </w:r>
          </w:p>
        </w:tc>
      </w:tr>
      <w:tr w:rsidTr="002A3D70">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3D70">
            <w:pPr>
              <w:pStyle w:val="BodyText"/>
              <w:rPr>
                <w:lang w:val="en-NZ"/>
              </w:rPr>
            </w:pPr>
            <w:r w:rsidRPr="002A3D7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3D70">
            <w:pPr>
              <w:pStyle w:val="BodyText"/>
              <w:rPr>
                <w:lang w:val="en-NZ"/>
              </w:rPr>
            </w:pPr>
            <w:r w:rsidRPr="002A3D70">
              <w:t>2 Years</w:t>
            </w:r>
          </w:p>
        </w:tc>
      </w:tr>
      <w:tr w:rsidTr="002A3D7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3D70">
            <w:pPr>
              <w:pStyle w:val="BodyText"/>
              <w:rPr>
                <w:lang w:val="en-NZ"/>
              </w:rPr>
            </w:pPr>
            <w:r w:rsidRPr="002A3D70">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3D70">
            <w:pPr>
              <w:pStyle w:val="BodyText"/>
              <w:rPr>
                <w:lang w:val="en-NZ"/>
              </w:rPr>
            </w:pPr>
            <w:r w:rsidRPr="002A3D7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3D70">
            <w:pPr>
              <w:pStyle w:val="BodyText"/>
              <w:rPr>
                <w:lang w:val="en-NZ"/>
              </w:rPr>
            </w:pPr>
            <w:r w:rsidRPr="002A3D70">
              <w:t>3 Years</w:t>
            </w:r>
          </w:p>
        </w:tc>
      </w:tr>
      <w:tr w:rsidTr="002A3D7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3D70">
            <w:pPr>
              <w:pStyle w:val="BodyText"/>
              <w:rPr>
                <w:lang w:val="en-NZ"/>
              </w:rPr>
            </w:pPr>
            <w:r w:rsidRPr="002A3D70">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3D70">
            <w:pPr>
              <w:pStyle w:val="BodyText"/>
              <w:rPr>
                <w:lang w:val="en-NZ"/>
              </w:rPr>
            </w:pPr>
            <w:r w:rsidRPr="002A3D7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3D70">
            <w:pPr>
              <w:pStyle w:val="BodyText"/>
              <w:rPr>
                <w:lang w:val="en-NZ"/>
              </w:rPr>
            </w:pPr>
            <w:r w:rsidRPr="002A3D70">
              <w:t>5 Years</w:t>
            </w:r>
          </w:p>
        </w:tc>
      </w:tr>
      <w:tr w:rsidTr="002A3D7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3D70">
            <w:pPr>
              <w:pStyle w:val="BodyText"/>
              <w:rPr>
                <w:lang w:val="en-NZ"/>
              </w:rPr>
            </w:pPr>
            <w:r w:rsidRPr="002A3D7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A3D70" w:rsidP="002A3D70">
            <w:pPr>
              <w:pStyle w:val="BodyText"/>
            </w:pPr>
            <w:r w:rsidRPr="002A3D70">
              <w:t>Where this Unit is being assessed outside of the Resources and Infrastructure Sectors assessor and/or Industry subject matter expert experience should be in-line with industry standards for the sector in which it is being assesse</w:t>
            </w:r>
            <w:r w:rsidRPr="002A3D70">
              <w:t>d and where no Industry standard is specified should comply with any relevant regulation.</w:t>
            </w:r>
          </w:p>
        </w:tc>
      </w:tr>
    </w:tbl>
    <w:p w:rsidR="00000000" w:rsidRPr="002A3D70" w:rsidP="002A3D70">
      <w:pPr>
        <w:pStyle w:val="BodyText"/>
      </w:pPr>
      <w:r w:rsidRPr="002A3D70">
        <w:t>*Assessors can demonstrate current work experience through employment within Industry in a role relevant to the outcomes of the Unit; or, for external assessors thi</w:t>
      </w:r>
      <w:r w:rsidRPr="002A3D70">
        <w:t>s can be demonstrated through exposure to Industry by conducting frequent site assessments across various locations.</w:t>
      </w:r>
    </w:p>
    <w:p w:rsidR="00000000" w:rsidRPr="002A3D70" w:rsidP="002A3D70">
      <w:pPr>
        <w:pStyle w:val="BodyText"/>
      </w:pPr>
      <w:r w:rsidRPr="002A3D70">
        <w:t xml:space="preserve">**Where a unit is being delivered outside of a Qualification the first numeric character in the Unit code should be considered to indicate </w:t>
      </w:r>
      <w:r w:rsidRPr="002A3D70">
        <w:t>the AQF level</w:t>
      </w:r>
    </w:p>
    <w:p w:rsidR="00000000" w:rsidRPr="002A3D70" w:rsidP="002A3D70">
      <w:pPr>
        <w:pStyle w:val="AllowPageBreak"/>
      </w:pPr>
    </w:p>
    <w:p w:rsidR="00000000" w:rsidRPr="002A3D70" w:rsidP="002A3D70">
      <w:pPr>
        <w:pStyle w:val="Heading1"/>
      </w:pPr>
      <w:bookmarkStart w:id="5" w:name="O_688528"/>
      <w:bookmarkEnd w:id="5"/>
      <w:r w:rsidRPr="002A3D70">
        <w:t>Links</w:t>
      </w:r>
    </w:p>
    <w:p w:rsidR="00000000" w:rsidRPr="002A3D70" w:rsidP="002A3D70">
      <w:pPr>
        <w:pStyle w:val="BodyText"/>
      </w:pPr>
      <w:r w:rsidRPr="002A3D70">
        <w:t>SkillsDMC RII Companion Volumes - http://www.skillsdmc.com.au/</w:t>
      </w:r>
    </w:p>
    <w:p w:rsidR="00000000" w:rsidRPr="002A3D70" w:rsidP="002A3D70"/>
    <w:sectPr w:rsidSect="002A3D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D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D70" w:rsidRPr="009F4E97" w:rsidP="009F4E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D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E97" w:rsidP="002A3D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F4E97" w:rsidP="002A3D70">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SkillsDMC</w:t>
    </w:r>
    <w:r>
      <w:fldChar w:fldCharType="end"/>
    </w:r>
  </w:p>
  <w:p w:rsidR="009F4E97" w:rsidP="002A3D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D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D70" w:rsidRPr="009F4E97" w:rsidP="009F4E9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D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E97" w:rsidRPr="002D2AF8" w:rsidP="002A3D70">
    <w:pPr>
      <w:pStyle w:val="Header"/>
      <w:framePr w:wrap="around"/>
    </w:pPr>
    <w:r>
      <w:fldChar w:fldCharType="begin"/>
    </w:r>
    <w:r>
      <w:instrText xml:space="preserve"> TITLE   \* MERGEFORMAT </w:instrText>
    </w:r>
    <w:r>
      <w:fldChar w:fldCharType="separate"/>
    </w:r>
    <w:r>
      <w:t>Assessment Requirements for RIIHAN309D Conduct telescopic materials handler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2014</w:t>
    </w:r>
    <w:r>
      <w:fldChar w:fldCharType="end"/>
    </w:r>
  </w:p>
  <w:p w:rsidR="009F4E97" w:rsidP="002A3D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CEB5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6AF4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DA9C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3D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3D70"/>
    <w:pPr>
      <w:spacing w:before="360" w:after="60"/>
      <w:outlineLvl w:val="0"/>
    </w:pPr>
    <w:rPr>
      <w:sz w:val="32"/>
    </w:rPr>
  </w:style>
  <w:style w:type="paragraph" w:styleId="Heading2">
    <w:name w:val="heading 2"/>
    <w:basedOn w:val="HeadingBase"/>
    <w:next w:val="BodyText"/>
    <w:link w:val="Heading2Char"/>
    <w:qFormat/>
    <w:rsid w:val="002A3D70"/>
    <w:pPr>
      <w:keepLines/>
      <w:spacing w:before="240" w:after="120"/>
      <w:outlineLvl w:val="1"/>
    </w:pPr>
    <w:rPr>
      <w:sz w:val="28"/>
      <w:szCs w:val="40"/>
    </w:rPr>
  </w:style>
  <w:style w:type="paragraph" w:styleId="Heading3">
    <w:name w:val="heading 3"/>
    <w:basedOn w:val="HeadingBase"/>
    <w:next w:val="BodyText"/>
    <w:link w:val="Heading3Char"/>
    <w:qFormat/>
    <w:rsid w:val="002A3D70"/>
    <w:pPr>
      <w:spacing w:before="180" w:after="120"/>
      <w:outlineLvl w:val="2"/>
    </w:pPr>
    <w:rPr>
      <w:spacing w:val="-10"/>
      <w:kern w:val="32"/>
    </w:rPr>
  </w:style>
  <w:style w:type="paragraph" w:styleId="Heading4">
    <w:name w:val="heading 4"/>
    <w:basedOn w:val="HeadingBase"/>
    <w:next w:val="BodyText"/>
    <w:link w:val="Heading4Char"/>
    <w:qFormat/>
    <w:rsid w:val="002A3D70"/>
    <w:pPr>
      <w:spacing w:before="160" w:after="120"/>
      <w:outlineLvl w:val="3"/>
    </w:pPr>
    <w:rPr>
      <w:sz w:val="22"/>
    </w:rPr>
  </w:style>
  <w:style w:type="paragraph" w:styleId="Heading5">
    <w:name w:val="heading 5"/>
    <w:basedOn w:val="HeadingBase"/>
    <w:next w:val="Normal"/>
    <w:link w:val="Heading5Char"/>
    <w:qFormat/>
    <w:rsid w:val="002A3D70"/>
    <w:pPr>
      <w:spacing w:before="80"/>
      <w:outlineLvl w:val="4"/>
    </w:pPr>
    <w:rPr>
      <w:color w:val="918585"/>
      <w:sz w:val="20"/>
    </w:rPr>
  </w:style>
  <w:style w:type="paragraph" w:styleId="Heading6">
    <w:name w:val="heading 6"/>
    <w:basedOn w:val="HeadingBase"/>
    <w:next w:val="Normal"/>
    <w:link w:val="Heading6Char"/>
    <w:qFormat/>
    <w:rsid w:val="002A3D70"/>
    <w:pPr>
      <w:spacing w:before="60"/>
      <w:outlineLvl w:val="5"/>
    </w:pPr>
    <w:rPr>
      <w:color w:val="918585"/>
      <w:sz w:val="20"/>
    </w:rPr>
  </w:style>
  <w:style w:type="paragraph" w:styleId="Heading7">
    <w:name w:val="heading 7"/>
    <w:basedOn w:val="Normal"/>
    <w:next w:val="Normal"/>
    <w:link w:val="Heading7Char"/>
    <w:qFormat/>
    <w:rsid w:val="002A3D70"/>
    <w:pPr>
      <w:ind w:left="720"/>
      <w:outlineLvl w:val="6"/>
    </w:pPr>
    <w:rPr>
      <w:i/>
    </w:rPr>
  </w:style>
  <w:style w:type="paragraph" w:styleId="Heading8">
    <w:name w:val="heading 8"/>
    <w:basedOn w:val="Normal"/>
    <w:next w:val="Normal"/>
    <w:link w:val="Heading8Char"/>
    <w:qFormat/>
    <w:rsid w:val="002A3D70"/>
    <w:pPr>
      <w:ind w:left="720"/>
      <w:outlineLvl w:val="7"/>
    </w:pPr>
    <w:rPr>
      <w:i/>
    </w:rPr>
  </w:style>
  <w:style w:type="paragraph" w:styleId="Heading9">
    <w:name w:val="heading 9"/>
    <w:basedOn w:val="Normal"/>
    <w:next w:val="Normal"/>
    <w:link w:val="Heading9Char"/>
    <w:qFormat/>
    <w:rsid w:val="002A3D70"/>
    <w:pPr>
      <w:ind w:left="720"/>
      <w:outlineLvl w:val="8"/>
    </w:pPr>
    <w:rPr>
      <w:i/>
    </w:rPr>
  </w:style>
  <w:style w:type="character" w:default="1" w:styleId="DefaultParagraphFont">
    <w:name w:val="Default Paragraph Font"/>
    <w:uiPriority w:val="1"/>
    <w:unhideWhenUsed/>
    <w:rsid w:val="002A3D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3D70"/>
  </w:style>
  <w:style w:type="character" w:customStyle="1" w:styleId="Heading1Char">
    <w:name w:val="Heading 1 Char"/>
    <w:basedOn w:val="DefaultParagraphFont"/>
    <w:link w:val="Heading1"/>
    <w:rsid w:val="002A3D70"/>
    <w:rPr>
      <w:rFonts w:ascii="Times New Roman" w:eastAsia="Times New Roman" w:hAnsi="Times New Roman" w:cs="Times New Roman"/>
      <w:b/>
      <w:sz w:val="32"/>
      <w:szCs w:val="20"/>
      <w:lang w:eastAsia="en-US"/>
    </w:rPr>
  </w:style>
  <w:style w:type="paragraph" w:styleId="BodyText">
    <w:name w:val="Body Text"/>
    <w:basedOn w:val="Normal"/>
    <w:link w:val="BodyTextChar"/>
    <w:rsid w:val="002A3D7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3D70"/>
    <w:rPr>
      <w:rFonts w:ascii="Times New Roman" w:eastAsia="Times New Roman" w:hAnsi="Times New Roman" w:cs="Times New Roman"/>
      <w:sz w:val="24"/>
      <w:lang w:eastAsia="en-US"/>
    </w:rPr>
  </w:style>
  <w:style w:type="paragraph" w:styleId="ListBullet">
    <w:name w:val="List Bullet"/>
    <w:basedOn w:val="List"/>
    <w:rsid w:val="002A3D70"/>
    <w:pPr>
      <w:numPr>
        <w:numId w:val="13"/>
      </w:numPr>
      <w:tabs>
        <w:tab w:val="clear" w:pos="340"/>
      </w:tabs>
      <w:spacing w:before="40" w:after="40"/>
    </w:pPr>
  </w:style>
  <w:style w:type="paragraph" w:styleId="ListBullet2">
    <w:name w:val="List Bullet 2"/>
    <w:basedOn w:val="List2"/>
    <w:rsid w:val="002A3D70"/>
    <w:pPr>
      <w:numPr>
        <w:numId w:val="14"/>
      </w:numPr>
      <w:tabs>
        <w:tab w:val="clear" w:pos="680"/>
      </w:tabs>
    </w:pPr>
  </w:style>
  <w:style w:type="paragraph" w:customStyle="1" w:styleId="SuperHeading">
    <w:name w:val="SuperHeading"/>
    <w:basedOn w:val="Normal"/>
    <w:rsid w:val="002A3D70"/>
    <w:pPr>
      <w:spacing w:before="240" w:after="120"/>
      <w:outlineLvl w:val="0"/>
    </w:pPr>
    <w:rPr>
      <w:rFonts w:ascii="Times New Roman" w:hAnsi="Times New Roman"/>
      <w:b/>
      <w:sz w:val="32"/>
    </w:rPr>
  </w:style>
  <w:style w:type="paragraph" w:customStyle="1" w:styleId="AllowPageBreak">
    <w:name w:val="AllowPageBreak"/>
    <w:rsid w:val="002A3D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3D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3D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3D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3D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3D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3D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3D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3D70"/>
    <w:rPr>
      <w:rFonts w:ascii="Courier New" w:eastAsia="Times New Roman" w:hAnsi="Courier New" w:cs="Times New Roman"/>
      <w:i/>
      <w:szCs w:val="20"/>
      <w:lang w:eastAsia="en-US"/>
    </w:rPr>
  </w:style>
  <w:style w:type="paragraph" w:customStyle="1" w:styleId="HeadingBase">
    <w:name w:val="Heading Base"/>
    <w:rsid w:val="002A3D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3D70"/>
    <w:pPr>
      <w:tabs>
        <w:tab w:val="right" w:leader="dot" w:pos="9072"/>
      </w:tabs>
      <w:ind w:left="567"/>
    </w:pPr>
    <w:rPr>
      <w:szCs w:val="22"/>
    </w:rPr>
  </w:style>
  <w:style w:type="paragraph" w:customStyle="1" w:styleId="TOCBase">
    <w:name w:val="TOC Base"/>
    <w:rsid w:val="002A3D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3D70"/>
    <w:pPr>
      <w:tabs>
        <w:tab w:val="right" w:leader="dot" w:pos="9072"/>
      </w:tabs>
      <w:spacing w:before="40" w:after="40"/>
      <w:ind w:left="284"/>
    </w:pPr>
    <w:rPr>
      <w:rFonts w:ascii="Times New Roman" w:hAnsi="Times New Roman"/>
    </w:rPr>
  </w:style>
  <w:style w:type="paragraph" w:styleId="TOC1">
    <w:name w:val="toc 1"/>
    <w:basedOn w:val="TOCBase"/>
    <w:next w:val="Normal"/>
    <w:rsid w:val="002A3D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3D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3D70"/>
    <w:rPr>
      <w:rFonts w:ascii="Times New Roman" w:eastAsia="Times New Roman" w:hAnsi="Times New Roman" w:cs="Times New Roman"/>
      <w:sz w:val="16"/>
      <w:lang w:eastAsia="en-US"/>
    </w:rPr>
  </w:style>
  <w:style w:type="paragraph" w:styleId="Title">
    <w:name w:val="Title"/>
    <w:basedOn w:val="HeadingBase"/>
    <w:link w:val="TitleChar"/>
    <w:qFormat/>
    <w:rsid w:val="002A3D70"/>
    <w:pPr>
      <w:spacing w:before="5040"/>
      <w:jc w:val="center"/>
    </w:pPr>
    <w:rPr>
      <w:sz w:val="48"/>
      <w:szCs w:val="72"/>
      <w:lang w:val="en-US"/>
    </w:rPr>
  </w:style>
  <w:style w:type="character" w:customStyle="1" w:styleId="TitleChar">
    <w:name w:val="Title Char"/>
    <w:basedOn w:val="DefaultParagraphFont"/>
    <w:link w:val="Title"/>
    <w:rsid w:val="002A3D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3D70"/>
    <w:pPr>
      <w:tabs>
        <w:tab w:val="left" w:pos="3600"/>
        <w:tab w:val="left" w:pos="3958"/>
      </w:tabs>
    </w:pPr>
  </w:style>
  <w:style w:type="paragraph" w:styleId="List">
    <w:name w:val="List"/>
    <w:basedOn w:val="BodyText"/>
    <w:next w:val="BodyText"/>
    <w:rsid w:val="002A3D70"/>
    <w:pPr>
      <w:tabs>
        <w:tab w:val="left" w:pos="340"/>
      </w:tabs>
      <w:spacing w:before="60" w:after="60"/>
      <w:ind w:left="340" w:hanging="340"/>
    </w:pPr>
  </w:style>
  <w:style w:type="paragraph" w:customStyle="1" w:styleId="Note">
    <w:name w:val="Note"/>
    <w:basedOn w:val="BodyText"/>
    <w:rsid w:val="002A3D7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A3D70"/>
    <w:rPr>
      <w:b/>
      <w:spacing w:val="0"/>
    </w:rPr>
  </w:style>
  <w:style w:type="paragraph" w:customStyle="1" w:styleId="SuperTitle">
    <w:name w:val="SuperTitle"/>
    <w:basedOn w:val="Title"/>
    <w:rsid w:val="002A3D70"/>
    <w:pPr>
      <w:framePr w:wrap="auto" w:hAnchor="text" w:y="6049"/>
    </w:pPr>
    <w:rPr>
      <w:color w:val="000000"/>
      <w:sz w:val="40"/>
    </w:rPr>
  </w:style>
  <w:style w:type="paragraph" w:customStyle="1" w:styleId="TOCTitle">
    <w:name w:val="TOCTitle"/>
    <w:basedOn w:val="Heading1"/>
    <w:rsid w:val="002A3D70"/>
    <w:pPr>
      <w:spacing w:after="240"/>
      <w:jc w:val="center"/>
      <w:outlineLvl w:val="9"/>
    </w:pPr>
    <w:rPr>
      <w:caps/>
    </w:rPr>
  </w:style>
  <w:style w:type="paragraph" w:customStyle="1" w:styleId="Version">
    <w:name w:val="Version"/>
    <w:rsid w:val="002A3D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3D70"/>
    <w:pPr>
      <w:keepNext w:val="0"/>
      <w:tabs>
        <w:tab w:val="right" w:pos="4176"/>
      </w:tabs>
      <w:ind w:left="198" w:hanging="198"/>
    </w:pPr>
    <w:rPr>
      <w:rFonts w:ascii="Garamond" w:hAnsi="Garamond"/>
    </w:rPr>
  </w:style>
  <w:style w:type="paragraph" w:styleId="IndexHeading">
    <w:name w:val="index heading"/>
    <w:basedOn w:val="Normal"/>
    <w:next w:val="Index1"/>
    <w:semiHidden/>
    <w:rsid w:val="002A3D70"/>
    <w:pPr>
      <w:spacing w:before="120" w:after="120"/>
    </w:pPr>
    <w:rPr>
      <w:rFonts w:ascii="Arial" w:hAnsi="Arial"/>
      <w:b/>
      <w:color w:val="918585"/>
      <w:sz w:val="24"/>
    </w:rPr>
  </w:style>
  <w:style w:type="paragraph" w:styleId="Header">
    <w:name w:val="header"/>
    <w:basedOn w:val="Normal"/>
    <w:link w:val="HeaderChar"/>
    <w:rsid w:val="002A3D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3D70"/>
    <w:rPr>
      <w:rFonts w:ascii="Times New Roman" w:eastAsia="Times New Roman" w:hAnsi="Times New Roman" w:cs="Times New Roman"/>
      <w:sz w:val="16"/>
      <w:szCs w:val="20"/>
      <w:lang w:val="en-GB" w:eastAsia="en-US"/>
    </w:rPr>
  </w:style>
  <w:style w:type="paragraph" w:customStyle="1" w:styleId="Chapter">
    <w:name w:val="Chapter"/>
    <w:basedOn w:val="Normal"/>
    <w:rsid w:val="002A3D70"/>
    <w:pPr>
      <w:spacing w:before="240"/>
    </w:pPr>
    <w:rPr>
      <w:rFonts w:ascii="Times New Roman" w:hAnsi="Times New Roman"/>
      <w:smallCaps/>
      <w:spacing w:val="80"/>
      <w:sz w:val="28"/>
    </w:rPr>
  </w:style>
  <w:style w:type="paragraph" w:customStyle="1" w:styleId="InChapter">
    <w:name w:val="InChapter"/>
    <w:basedOn w:val="Heading3"/>
    <w:rsid w:val="002A3D70"/>
    <w:pPr>
      <w:spacing w:after="240"/>
      <w:outlineLvl w:val="9"/>
    </w:pPr>
    <w:rPr>
      <w:noProof/>
    </w:rPr>
  </w:style>
  <w:style w:type="paragraph" w:styleId="Index2">
    <w:name w:val="index 2"/>
    <w:basedOn w:val="Normal"/>
    <w:next w:val="Normal"/>
    <w:semiHidden/>
    <w:rsid w:val="002A3D70"/>
    <w:pPr>
      <w:tabs>
        <w:tab w:val="right" w:pos="4176"/>
      </w:tabs>
      <w:ind w:left="568" w:hanging="284"/>
    </w:pPr>
    <w:rPr>
      <w:rFonts w:ascii="Garamond" w:hAnsi="Garamond"/>
    </w:rPr>
  </w:style>
  <w:style w:type="paragraph" w:customStyle="1" w:styleId="Byline">
    <w:name w:val="Byline"/>
    <w:rsid w:val="002A3D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3D70"/>
    <w:pPr>
      <w:tabs>
        <w:tab w:val="clear" w:pos="3600"/>
        <w:tab w:val="clear" w:pos="3958"/>
      </w:tabs>
      <w:jc w:val="right"/>
    </w:pPr>
  </w:style>
  <w:style w:type="character" w:styleId="Emphasis">
    <w:name w:val="Emphasis"/>
    <w:basedOn w:val="DefaultParagraphFont"/>
    <w:qFormat/>
    <w:rsid w:val="002A3D70"/>
    <w:rPr>
      <w:i/>
    </w:rPr>
  </w:style>
  <w:style w:type="paragraph" w:styleId="Caption">
    <w:name w:val="caption"/>
    <w:basedOn w:val="BodyText"/>
    <w:next w:val="Normal"/>
    <w:qFormat/>
    <w:rsid w:val="002A3D70"/>
    <w:pPr>
      <w:framePr w:w="2268" w:hSpace="181" w:vSpace="181" w:wrap="around" w:vAnchor="text" w:hAnchor="page" w:x="1135" w:y="285" w:anchorLock="1"/>
    </w:pPr>
    <w:rPr>
      <w:i/>
    </w:rPr>
  </w:style>
  <w:style w:type="paragraph" w:customStyle="1" w:styleId="MiniTOCTitle">
    <w:name w:val="MiniTOCTitle"/>
    <w:basedOn w:val="Heading4"/>
    <w:rsid w:val="002A3D70"/>
    <w:pPr>
      <w:spacing w:before="240"/>
      <w:outlineLvl w:val="9"/>
    </w:pPr>
    <w:rPr>
      <w:noProof/>
      <w:sz w:val="24"/>
    </w:rPr>
  </w:style>
  <w:style w:type="paragraph" w:customStyle="1" w:styleId="MiniTOCItem">
    <w:name w:val="MiniTOCItem"/>
    <w:basedOn w:val="ListBullet"/>
    <w:rsid w:val="002A3D70"/>
    <w:pPr>
      <w:numPr>
        <w:numId w:val="0"/>
      </w:numPr>
      <w:tabs>
        <w:tab w:val="right" w:leader="dot" w:pos="6521"/>
      </w:tabs>
      <w:spacing w:before="0" w:after="0"/>
    </w:pPr>
  </w:style>
  <w:style w:type="paragraph" w:customStyle="1" w:styleId="TOFTitle">
    <w:name w:val="TOFTitle"/>
    <w:basedOn w:val="TOCTitle"/>
    <w:rsid w:val="002A3D70"/>
  </w:style>
  <w:style w:type="paragraph" w:styleId="TableofFigures">
    <w:name w:val="table of figures"/>
    <w:basedOn w:val="Normal"/>
    <w:next w:val="Normal"/>
    <w:semiHidden/>
    <w:rsid w:val="002A3D70"/>
    <w:pPr>
      <w:tabs>
        <w:tab w:val="right" w:leader="dot" w:pos="9072"/>
      </w:tabs>
      <w:ind w:left="970" w:hanging="403"/>
    </w:pPr>
    <w:rPr>
      <w:rFonts w:ascii="Times New Roman" w:hAnsi="Times New Roman"/>
      <w:b/>
    </w:rPr>
  </w:style>
  <w:style w:type="paragraph" w:styleId="ListNumber">
    <w:name w:val="List Number"/>
    <w:basedOn w:val="List"/>
    <w:rsid w:val="002A3D70"/>
    <w:pPr>
      <w:numPr>
        <w:numId w:val="11"/>
      </w:numPr>
    </w:pPr>
  </w:style>
  <w:style w:type="character" w:customStyle="1" w:styleId="WingdingSymbols">
    <w:name w:val="Wingding Symbols"/>
    <w:rsid w:val="002A3D70"/>
    <w:rPr>
      <w:rFonts w:ascii="Wingdings" w:hAnsi="Wingdings"/>
    </w:rPr>
  </w:style>
  <w:style w:type="paragraph" w:customStyle="1" w:styleId="TableHeading">
    <w:name w:val="Table Heading"/>
    <w:basedOn w:val="HeadingBase"/>
    <w:rsid w:val="002A3D70"/>
    <w:pPr>
      <w:keepLines/>
      <w:pBdr>
        <w:bottom w:val="single" w:sz="6" w:space="1" w:color="918585"/>
      </w:pBdr>
      <w:spacing w:before="240"/>
    </w:pPr>
  </w:style>
  <w:style w:type="character" w:customStyle="1" w:styleId="HotSpot">
    <w:name w:val="HotSpot"/>
    <w:rsid w:val="002A3D70"/>
    <w:rPr>
      <w:color w:val="0033CC"/>
      <w:u w:val="none"/>
    </w:rPr>
  </w:style>
  <w:style w:type="paragraph" w:customStyle="1" w:styleId="BodyTextRight">
    <w:name w:val="Body Text Right"/>
    <w:basedOn w:val="BodyText"/>
    <w:rsid w:val="002A3D70"/>
    <w:pPr>
      <w:spacing w:before="0" w:after="0"/>
      <w:jc w:val="right"/>
    </w:pPr>
  </w:style>
  <w:style w:type="paragraph" w:styleId="Index3">
    <w:name w:val="index 3"/>
    <w:basedOn w:val="ListNumber2"/>
    <w:next w:val="Normal"/>
    <w:semiHidden/>
    <w:rsid w:val="002A3D70"/>
    <w:pPr>
      <w:numPr>
        <w:numId w:val="0"/>
      </w:numPr>
      <w:tabs>
        <w:tab w:val="right" w:leader="dot" w:pos="4176"/>
      </w:tabs>
    </w:pPr>
  </w:style>
  <w:style w:type="paragraph" w:styleId="ListNumber2">
    <w:name w:val="List Number 2"/>
    <w:basedOn w:val="List2"/>
    <w:rsid w:val="002A3D70"/>
    <w:pPr>
      <w:numPr>
        <w:numId w:val="10"/>
      </w:numPr>
      <w:tabs>
        <w:tab w:val="clear" w:pos="1060"/>
      </w:tabs>
    </w:pPr>
  </w:style>
  <w:style w:type="paragraph" w:customStyle="1" w:styleId="MarginNote">
    <w:name w:val="Margin Note"/>
    <w:basedOn w:val="BodyText"/>
    <w:rsid w:val="002A3D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3D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3D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3D70"/>
    <w:rPr>
      <w:sz w:val="32"/>
    </w:rPr>
  </w:style>
  <w:style w:type="paragraph" w:customStyle="1" w:styleId="HeadingProcedure">
    <w:name w:val="Heading Procedure"/>
    <w:basedOn w:val="HeadingBase"/>
    <w:next w:val="Normal"/>
    <w:rsid w:val="002A3D70"/>
    <w:pPr>
      <w:tabs>
        <w:tab w:val="left" w:pos="0"/>
      </w:tabs>
      <w:spacing w:before="120" w:after="60"/>
    </w:pPr>
    <w:rPr>
      <w:i/>
      <w:color w:val="918585"/>
      <w:sz w:val="22"/>
    </w:rPr>
  </w:style>
  <w:style w:type="paragraph" w:customStyle="1" w:styleId="TableBodyText">
    <w:name w:val="Table Body Text"/>
    <w:basedOn w:val="BodyText"/>
    <w:rsid w:val="002A3D70"/>
    <w:pPr>
      <w:spacing w:before="60" w:after="60"/>
    </w:pPr>
  </w:style>
  <w:style w:type="paragraph" w:styleId="ListContinue">
    <w:name w:val="List Continue"/>
    <w:basedOn w:val="List"/>
    <w:rsid w:val="002A3D70"/>
    <w:pPr>
      <w:ind w:firstLine="0"/>
    </w:pPr>
  </w:style>
  <w:style w:type="paragraph" w:customStyle="1" w:styleId="ListNote">
    <w:name w:val="List Note"/>
    <w:basedOn w:val="List"/>
    <w:rsid w:val="002A3D70"/>
    <w:pPr>
      <w:pBdr>
        <w:top w:val="single" w:sz="6" w:space="2" w:color="918585"/>
        <w:bottom w:val="single" w:sz="6" w:space="2" w:color="918585"/>
      </w:pBdr>
      <w:tabs>
        <w:tab w:val="left" w:pos="1021"/>
      </w:tabs>
      <w:ind w:firstLine="0"/>
    </w:pPr>
  </w:style>
  <w:style w:type="paragraph" w:customStyle="1" w:styleId="Warning">
    <w:name w:val="Warning"/>
    <w:basedOn w:val="BodyText"/>
    <w:rsid w:val="002A3D70"/>
    <w:pPr>
      <w:shd w:val="clear" w:color="auto" w:fill="D9D9D9"/>
      <w:tabs>
        <w:tab w:val="left" w:pos="992"/>
      </w:tabs>
      <w:ind w:left="119" w:right="119"/>
    </w:pPr>
    <w:rPr>
      <w:sz w:val="20"/>
    </w:rPr>
  </w:style>
  <w:style w:type="paragraph" w:customStyle="1" w:styleId="MarginIcons">
    <w:name w:val="Margin Icons"/>
    <w:basedOn w:val="BodyText"/>
    <w:rsid w:val="002A3D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3D70"/>
    <w:rPr>
      <w:rFonts w:ascii="Courier New" w:hAnsi="Courier New"/>
    </w:rPr>
  </w:style>
  <w:style w:type="paragraph" w:customStyle="1" w:styleId="NoteBullet">
    <w:name w:val="Note Bullet"/>
    <w:basedOn w:val="Note"/>
    <w:rsid w:val="002A3D70"/>
    <w:pPr>
      <w:tabs>
        <w:tab w:val="clear" w:pos="680"/>
      </w:tabs>
      <w:spacing w:before="60" w:after="60"/>
    </w:pPr>
  </w:style>
  <w:style w:type="paragraph" w:customStyle="1" w:styleId="SubHeading2">
    <w:name w:val="SubHeading2"/>
    <w:basedOn w:val="HeadingBase"/>
    <w:rsid w:val="002A3D70"/>
    <w:pPr>
      <w:spacing w:before="240" w:after="60"/>
    </w:pPr>
    <w:rPr>
      <w:sz w:val="20"/>
    </w:rPr>
  </w:style>
  <w:style w:type="paragraph" w:customStyle="1" w:styleId="SubHeading1">
    <w:name w:val="SubHeading1"/>
    <w:basedOn w:val="HeadingBase"/>
    <w:rsid w:val="002A3D70"/>
    <w:pPr>
      <w:spacing w:before="240" w:after="60"/>
    </w:pPr>
    <w:rPr>
      <w:color w:val="918585"/>
      <w:sz w:val="22"/>
    </w:rPr>
  </w:style>
  <w:style w:type="paragraph" w:customStyle="1" w:styleId="SideHeading">
    <w:name w:val="Side Heading"/>
    <w:basedOn w:val="HeadingBase"/>
    <w:rsid w:val="002A3D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3D70"/>
    <w:pPr>
      <w:numPr>
        <w:numId w:val="12"/>
      </w:numPr>
    </w:pPr>
  </w:style>
  <w:style w:type="paragraph" w:styleId="PlainText">
    <w:name w:val="Plain Text"/>
    <w:basedOn w:val="Normal"/>
    <w:link w:val="PlainTextChar"/>
    <w:rsid w:val="002A3D70"/>
    <w:rPr>
      <w:sz w:val="20"/>
    </w:rPr>
  </w:style>
  <w:style w:type="character" w:customStyle="1" w:styleId="PlainTextChar">
    <w:name w:val="Plain Text Char"/>
    <w:basedOn w:val="DefaultParagraphFont"/>
    <w:link w:val="PlainText"/>
    <w:rsid w:val="002A3D70"/>
    <w:rPr>
      <w:rFonts w:ascii="Courier New" w:eastAsia="Times New Roman" w:hAnsi="Courier New" w:cs="Times New Roman"/>
      <w:sz w:val="20"/>
      <w:szCs w:val="20"/>
      <w:lang w:eastAsia="en-US"/>
    </w:rPr>
  </w:style>
  <w:style w:type="character" w:customStyle="1" w:styleId="MenuOption">
    <w:name w:val="Menu Option"/>
    <w:basedOn w:val="DefaultParagraphFont"/>
    <w:rsid w:val="002A3D70"/>
    <w:rPr>
      <w:b/>
      <w:smallCaps/>
    </w:rPr>
  </w:style>
  <w:style w:type="paragraph" w:customStyle="1" w:styleId="TableListNumber">
    <w:name w:val="Table List Number"/>
    <w:basedOn w:val="ListNumber"/>
    <w:rsid w:val="002A3D70"/>
    <w:pPr>
      <w:numPr>
        <w:numId w:val="0"/>
      </w:numPr>
    </w:pPr>
  </w:style>
  <w:style w:type="paragraph" w:styleId="TOC4">
    <w:name w:val="toc 4"/>
    <w:basedOn w:val="TOCBase"/>
    <w:next w:val="Normal"/>
    <w:semiHidden/>
    <w:rsid w:val="002A3D70"/>
    <w:pPr>
      <w:tabs>
        <w:tab w:val="right" w:leader="dot" w:pos="9071"/>
      </w:tabs>
      <w:ind w:left="1701"/>
    </w:pPr>
  </w:style>
  <w:style w:type="paragraph" w:customStyle="1" w:styleId="ListAlpha">
    <w:name w:val="List Alpha"/>
    <w:basedOn w:val="List"/>
    <w:rsid w:val="002A3D70"/>
    <w:pPr>
      <w:numPr>
        <w:numId w:val="9"/>
      </w:numPr>
    </w:pPr>
  </w:style>
  <w:style w:type="paragraph" w:customStyle="1" w:styleId="ListAlpha2">
    <w:name w:val="List Alpha 2"/>
    <w:basedOn w:val="List2"/>
    <w:rsid w:val="002A3D70"/>
    <w:pPr>
      <w:numPr>
        <w:numId w:val="8"/>
      </w:numPr>
    </w:pPr>
  </w:style>
  <w:style w:type="paragraph" w:styleId="List2">
    <w:name w:val="List 2"/>
    <w:basedOn w:val="BodyText"/>
    <w:rsid w:val="002A3D70"/>
    <w:pPr>
      <w:tabs>
        <w:tab w:val="left" w:pos="680"/>
      </w:tabs>
      <w:spacing w:before="60" w:after="60"/>
      <w:ind w:left="680" w:hanging="340"/>
    </w:pPr>
  </w:style>
  <w:style w:type="paragraph" w:styleId="List3">
    <w:name w:val="List 3"/>
    <w:basedOn w:val="BodyText"/>
    <w:rsid w:val="002A3D70"/>
    <w:pPr>
      <w:tabs>
        <w:tab w:val="left" w:pos="1021"/>
      </w:tabs>
      <w:spacing w:before="60" w:after="60"/>
      <w:ind w:left="1020" w:hanging="340"/>
    </w:pPr>
  </w:style>
  <w:style w:type="paragraph" w:styleId="List4">
    <w:name w:val="List 4"/>
    <w:basedOn w:val="BodyText"/>
    <w:rsid w:val="002A3D70"/>
    <w:pPr>
      <w:tabs>
        <w:tab w:val="left" w:pos="1361"/>
      </w:tabs>
      <w:spacing w:before="60" w:after="60"/>
      <w:ind w:left="1361" w:hanging="340"/>
    </w:pPr>
  </w:style>
  <w:style w:type="paragraph" w:styleId="List5">
    <w:name w:val="List 5"/>
    <w:basedOn w:val="BodyText"/>
    <w:rsid w:val="002A3D70"/>
    <w:pPr>
      <w:tabs>
        <w:tab w:val="left" w:pos="1701"/>
      </w:tabs>
      <w:spacing w:before="60" w:after="60"/>
      <w:ind w:left="1701" w:hanging="340"/>
    </w:pPr>
  </w:style>
  <w:style w:type="paragraph" w:styleId="ListBullet3">
    <w:name w:val="List Bullet 3"/>
    <w:basedOn w:val="List3"/>
    <w:rsid w:val="002A3D70"/>
    <w:pPr>
      <w:numPr>
        <w:numId w:val="15"/>
      </w:numPr>
      <w:tabs>
        <w:tab w:val="clear" w:pos="1021"/>
      </w:tabs>
      <w:ind w:left="1037" w:hanging="357"/>
    </w:pPr>
  </w:style>
  <w:style w:type="paragraph" w:styleId="ListBullet4">
    <w:name w:val="List Bullet 4"/>
    <w:basedOn w:val="List4"/>
    <w:rsid w:val="002A3D70"/>
    <w:pPr>
      <w:numPr>
        <w:numId w:val="3"/>
      </w:numPr>
      <w:tabs>
        <w:tab w:val="clear" w:pos="1361"/>
      </w:tabs>
    </w:pPr>
  </w:style>
  <w:style w:type="paragraph" w:styleId="ListBullet5">
    <w:name w:val="List Bullet 5"/>
    <w:basedOn w:val="List5"/>
    <w:rsid w:val="002A3D70"/>
    <w:pPr>
      <w:numPr>
        <w:numId w:val="4"/>
      </w:numPr>
    </w:pPr>
  </w:style>
  <w:style w:type="paragraph" w:styleId="ListContinue2">
    <w:name w:val="List Continue 2"/>
    <w:basedOn w:val="List2"/>
    <w:rsid w:val="002A3D70"/>
    <w:pPr>
      <w:ind w:firstLine="0"/>
    </w:pPr>
  </w:style>
  <w:style w:type="paragraph" w:styleId="ListContinue3">
    <w:name w:val="List Continue 3"/>
    <w:basedOn w:val="List3"/>
    <w:rsid w:val="002A3D70"/>
    <w:pPr>
      <w:ind w:left="1021" w:firstLine="0"/>
    </w:pPr>
  </w:style>
  <w:style w:type="paragraph" w:styleId="ListContinue4">
    <w:name w:val="List Continue 4"/>
    <w:basedOn w:val="List4"/>
    <w:rsid w:val="002A3D70"/>
    <w:pPr>
      <w:ind w:firstLine="0"/>
    </w:pPr>
  </w:style>
  <w:style w:type="paragraph" w:styleId="ListContinue5">
    <w:name w:val="List Continue 5"/>
    <w:basedOn w:val="List5"/>
    <w:rsid w:val="002A3D70"/>
    <w:pPr>
      <w:ind w:firstLine="0"/>
    </w:pPr>
  </w:style>
  <w:style w:type="paragraph" w:styleId="ListNumber3">
    <w:name w:val="List Number 3"/>
    <w:basedOn w:val="List3"/>
    <w:rsid w:val="002A3D70"/>
    <w:pPr>
      <w:numPr>
        <w:numId w:val="5"/>
      </w:numPr>
    </w:pPr>
  </w:style>
  <w:style w:type="paragraph" w:styleId="ListNumber4">
    <w:name w:val="List Number 4"/>
    <w:basedOn w:val="List4"/>
    <w:rsid w:val="002A3D70"/>
    <w:pPr>
      <w:numPr>
        <w:numId w:val="6"/>
      </w:numPr>
    </w:pPr>
  </w:style>
  <w:style w:type="paragraph" w:styleId="ListNumber5">
    <w:name w:val="List Number 5"/>
    <w:basedOn w:val="List5"/>
    <w:rsid w:val="002A3D70"/>
    <w:pPr>
      <w:numPr>
        <w:numId w:val="7"/>
      </w:numPr>
    </w:pPr>
  </w:style>
  <w:style w:type="paragraph" w:styleId="BlockText">
    <w:name w:val="Block Text"/>
    <w:basedOn w:val="Normal"/>
    <w:rsid w:val="002A3D70"/>
    <w:pPr>
      <w:spacing w:after="120"/>
      <w:ind w:left="1440" w:right="1440"/>
    </w:pPr>
  </w:style>
  <w:style w:type="character" w:customStyle="1" w:styleId="Subscript">
    <w:name w:val="Subscript"/>
    <w:basedOn w:val="DefaultParagraphFont"/>
    <w:rsid w:val="002A3D70"/>
    <w:rPr>
      <w:sz w:val="16"/>
      <w:vertAlign w:val="subscript"/>
    </w:rPr>
  </w:style>
  <w:style w:type="character" w:customStyle="1" w:styleId="Superscript">
    <w:name w:val="Superscript"/>
    <w:basedOn w:val="DefaultParagraphFont"/>
    <w:rsid w:val="002A3D70"/>
    <w:rPr>
      <w:sz w:val="16"/>
      <w:vertAlign w:val="superscript"/>
    </w:rPr>
  </w:style>
  <w:style w:type="character" w:customStyle="1" w:styleId="Symbols">
    <w:name w:val="Symbols"/>
    <w:basedOn w:val="DefaultParagraphFont"/>
    <w:rsid w:val="002A3D70"/>
    <w:rPr>
      <w:rFonts w:ascii="Symbol" w:hAnsi="Symbol"/>
    </w:rPr>
  </w:style>
  <w:style w:type="character" w:customStyle="1" w:styleId="MenuOptions">
    <w:name w:val="Menu Options"/>
    <w:basedOn w:val="DefaultParagraphFont"/>
    <w:rsid w:val="002A3D70"/>
    <w:rPr>
      <w:rFonts w:ascii="Arial Narrow" w:hAnsi="Arial Narrow"/>
      <w:smallCaps/>
    </w:rPr>
  </w:style>
  <w:style w:type="character" w:customStyle="1" w:styleId="Buttons">
    <w:name w:val="Buttons"/>
    <w:basedOn w:val="DefaultParagraphFont"/>
    <w:rsid w:val="002A3D70"/>
    <w:rPr>
      <w:b/>
    </w:rPr>
  </w:style>
  <w:style w:type="character" w:customStyle="1" w:styleId="Underlined">
    <w:name w:val="Underlined"/>
    <w:basedOn w:val="DefaultParagraphFont"/>
    <w:rsid w:val="002A3D70"/>
    <w:rPr>
      <w:u w:val="single"/>
    </w:rPr>
  </w:style>
  <w:style w:type="paragraph" w:customStyle="1" w:styleId="TableBodyTextRight">
    <w:name w:val="Table Body Text Right"/>
    <w:basedOn w:val="TableBodyText"/>
    <w:rsid w:val="002A3D70"/>
    <w:pPr>
      <w:widowControl w:val="0"/>
      <w:autoSpaceDE w:val="0"/>
      <w:autoSpaceDN w:val="0"/>
      <w:adjustRightInd w:val="0"/>
      <w:jc w:val="right"/>
    </w:pPr>
    <w:rPr>
      <w:rFonts w:cs="Arial"/>
      <w:szCs w:val="18"/>
    </w:rPr>
  </w:style>
  <w:style w:type="paragraph" w:customStyle="1" w:styleId="CopyrightText">
    <w:name w:val="Copyright Text"/>
    <w:basedOn w:val="BodyText"/>
    <w:rsid w:val="002A3D70"/>
    <w:rPr>
      <w:sz w:val="18"/>
    </w:rPr>
  </w:style>
  <w:style w:type="paragraph" w:customStyle="1" w:styleId="BodySmallRight">
    <w:name w:val="Body Small Right"/>
    <w:basedOn w:val="BodyTextRight"/>
    <w:rsid w:val="002A3D70"/>
    <w:rPr>
      <w:sz w:val="18"/>
      <w:szCs w:val="18"/>
    </w:rPr>
  </w:style>
  <w:style w:type="paragraph" w:customStyle="1" w:styleId="MarginEdition">
    <w:name w:val="Margin Edition"/>
    <w:basedOn w:val="MarginNote"/>
    <w:rsid w:val="002A3D70"/>
    <w:pPr>
      <w:spacing w:before="0" w:after="0"/>
    </w:pPr>
    <w:rPr>
      <w:rFonts w:ascii="Times New Roman" w:hAnsi="Times New Roman"/>
      <w:color w:val="999999"/>
    </w:rPr>
  </w:style>
  <w:style w:type="paragraph" w:customStyle="1" w:styleId="Spacer">
    <w:name w:val="Spacer"/>
    <w:basedOn w:val="Normal"/>
    <w:rsid w:val="002A3D70"/>
    <w:rPr>
      <w:sz w:val="2"/>
      <w:szCs w:val="2"/>
    </w:rPr>
  </w:style>
  <w:style w:type="character" w:customStyle="1" w:styleId="Small">
    <w:name w:val="Small"/>
    <w:basedOn w:val="DefaultParagraphFont"/>
    <w:rsid w:val="002A3D70"/>
    <w:rPr>
      <w:sz w:val="16"/>
    </w:rPr>
  </w:style>
  <w:style w:type="paragraph" w:customStyle="1" w:styleId="WideTable">
    <w:name w:val="Wide Table"/>
    <w:basedOn w:val="Normal"/>
    <w:rsid w:val="002A3D70"/>
    <w:pPr>
      <w:ind w:left="-1418"/>
    </w:pPr>
    <w:rPr>
      <w:sz w:val="2"/>
      <w:szCs w:val="2"/>
    </w:rPr>
  </w:style>
  <w:style w:type="character" w:styleId="PageNumber">
    <w:name w:val="page number"/>
    <w:basedOn w:val="DefaultParagraphFont"/>
    <w:rsid w:val="002A3D70"/>
  </w:style>
  <w:style w:type="paragraph" w:styleId="Quote">
    <w:name w:val="Quote"/>
    <w:basedOn w:val="Heading1"/>
    <w:link w:val="QuoteChar"/>
    <w:qFormat/>
    <w:rsid w:val="002A3D70"/>
    <w:rPr>
      <w:b w:val="0"/>
      <w:sz w:val="72"/>
      <w:szCs w:val="72"/>
      <w:lang w:val="en-NZ"/>
    </w:rPr>
  </w:style>
  <w:style w:type="character" w:customStyle="1" w:styleId="QuoteChar">
    <w:name w:val="Quote Char"/>
    <w:basedOn w:val="DefaultParagraphFont"/>
    <w:link w:val="Quote"/>
    <w:rsid w:val="002A3D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3D70"/>
    <w:pPr>
      <w:pageBreakBefore/>
    </w:pPr>
  </w:style>
  <w:style w:type="paragraph" w:customStyle="1" w:styleId="Border">
    <w:name w:val="Border"/>
    <w:basedOn w:val="Normal"/>
    <w:qFormat/>
    <w:rsid w:val="002A3D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3D70"/>
    <w:rPr>
      <w:b/>
      <w:bCs/>
      <w:i/>
      <w:iCs/>
      <w:color w:val="auto"/>
    </w:rPr>
  </w:style>
  <w:style w:type="paragraph" w:styleId="IntenseQuote">
    <w:name w:val="Intense Quote"/>
    <w:basedOn w:val="Normal"/>
    <w:next w:val="Normal"/>
    <w:link w:val="IntenseQuoteChar"/>
    <w:uiPriority w:val="30"/>
    <w:qFormat/>
    <w:rsid w:val="002A3D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3D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3D70"/>
    <w:rPr>
      <w:smallCaps/>
      <w:color w:val="auto"/>
      <w:u w:val="single"/>
    </w:rPr>
  </w:style>
  <w:style w:type="character" w:styleId="IntenseReference">
    <w:name w:val="Intense Reference"/>
    <w:basedOn w:val="DefaultParagraphFont"/>
    <w:uiPriority w:val="32"/>
    <w:qFormat/>
    <w:rsid w:val="002A3D70"/>
    <w:rPr>
      <w:b/>
      <w:bCs/>
      <w:smallCaps/>
      <w:color w:val="auto"/>
      <w:spacing w:val="5"/>
      <w:u w:val="single"/>
    </w:rPr>
  </w:style>
  <w:style w:type="paragraph" w:customStyle="1" w:styleId="2ColumnHeading">
    <w:name w:val="2Column Heading"/>
    <w:basedOn w:val="BodyText"/>
    <w:qFormat/>
    <w:rsid w:val="002A3D70"/>
    <w:pPr>
      <w:spacing w:after="60"/>
      <w:ind w:left="-2268"/>
    </w:pPr>
    <w:rPr>
      <w:b/>
    </w:rPr>
  </w:style>
  <w:style w:type="paragraph" w:customStyle="1" w:styleId="Heading1TOC">
    <w:name w:val="Heading1 TOC"/>
    <w:basedOn w:val="Normal"/>
    <w:qFormat/>
    <w:rsid w:val="002A3D70"/>
    <w:pPr>
      <w:spacing w:before="240" w:after="120"/>
    </w:pPr>
    <w:rPr>
      <w:rFonts w:ascii="Times New Roman" w:hAnsi="Times New Roman"/>
      <w:b/>
      <w:sz w:val="32"/>
    </w:rPr>
  </w:style>
  <w:style w:type="paragraph" w:customStyle="1" w:styleId="Heading2TOC">
    <w:name w:val="Heading2 TOC"/>
    <w:basedOn w:val="Normal"/>
    <w:qFormat/>
    <w:rsid w:val="002A3D70"/>
    <w:pPr>
      <w:spacing w:before="240" w:after="60"/>
    </w:pPr>
    <w:rPr>
      <w:rFonts w:ascii="Times New Roman" w:hAnsi="Times New Roman"/>
      <w:b/>
      <w:sz w:val="28"/>
    </w:rPr>
  </w:style>
  <w:style w:type="character" w:customStyle="1" w:styleId="Underline">
    <w:name w:val="Underline"/>
    <w:basedOn w:val="DefaultParagraphFont"/>
    <w:qFormat/>
    <w:rsid w:val="002A3D70"/>
    <w:rPr>
      <w:u w:val="single"/>
    </w:rPr>
  </w:style>
  <w:style w:type="character" w:customStyle="1" w:styleId="BoldandItalics">
    <w:name w:val="Bold and Italics"/>
    <w:qFormat/>
    <w:rsid w:val="002A3D70"/>
    <w:rPr>
      <w:b/>
      <w:i/>
      <w:u w:val="none"/>
    </w:rPr>
  </w:style>
  <w:style w:type="paragraph" w:styleId="BalloonText">
    <w:name w:val="Balloon Text"/>
    <w:basedOn w:val="Normal"/>
    <w:link w:val="BalloonTextChar"/>
    <w:rsid w:val="002A3D70"/>
    <w:rPr>
      <w:rFonts w:ascii="Tahoma" w:hAnsi="Tahoma" w:cs="Tahoma"/>
      <w:sz w:val="16"/>
      <w:szCs w:val="16"/>
    </w:rPr>
  </w:style>
  <w:style w:type="character" w:customStyle="1" w:styleId="BalloonTextChar">
    <w:name w:val="Balloon Text Char"/>
    <w:basedOn w:val="DefaultParagraphFont"/>
    <w:link w:val="BalloonText"/>
    <w:rsid w:val="002A3D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3D7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3D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3D70"/>
    <w:rPr>
      <w:b/>
      <w:color w:val="660033"/>
      <w:spacing w:val="0"/>
    </w:rPr>
  </w:style>
  <w:style w:type="paragraph" w:customStyle="1" w:styleId="Nameditemlist">
    <w:name w:val="Named item list"/>
    <w:basedOn w:val="BodyText"/>
    <w:qFormat/>
    <w:rsid w:val="002A3D7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877</Words>
  <Characters>5667</Characters>
  <Application>Microsoft Office Word</Application>
  <DocSecurity>0</DocSecurity>
  <Lines>140</Lines>
  <Paragraphs>83</Paragraphs>
  <ScaleCrop>false</ScaleCrop>
  <Company>Author-it Software Corporation Ltd.</Company>
  <LinksUpToDate>false</LinksUpToDate>
  <CharactersWithSpaces>6504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RIIHAN309D Conduct telescopic materials handler operations</dc:title>
  <dc:subject>Approved</dc:subject>
  <dc:creator>SkillsDMC</dc:creator>
  <cp:keywords>Release: 4</cp:keywords>
  <dc:description>Review Date: 12 April 2008</dc:description>
  <cp:lastModifiedBy>HSD_TPCMSd.prod</cp:lastModifiedBy>
  <cp:revision>3</cp:revision>
  <dcterms:created xsi:type="dcterms:W3CDTF">2014-12-07T03:00:00Z</dcterms:created>
  <dcterms:modified xsi:type="dcterms:W3CDTF">2014-12-07T03:00:00Z</dcterms:modified>
</cp:coreProperties>
</file>