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870" w:rsidP="00EA7870">
      <w:pPr>
        <w:pStyle w:val="Title"/>
      </w:pPr>
      <w:r>
        <w:fldChar w:fldCharType="begin"/>
      </w:r>
      <w:r>
        <w:instrText xml:space="preserve"> TITLE   \* MERGEFORMAT </w:instrText>
      </w:r>
      <w:r>
        <w:fldChar w:fldCharType="separate"/>
      </w:r>
      <w:r>
        <w:t>Assessment Requirements for RIIHAN308E Load and unload plant</w:t>
      </w:r>
      <w:r>
        <w:fldChar w:fldCharType="end"/>
      </w:r>
    </w:p>
    <w:p w:rsidR="00EA7870" w:rsidP="00EA7870">
      <w:pPr>
        <w:pStyle w:val="Version"/>
        <w:sectPr w:rsidSect="00C22E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E4D" w:rsidP="00C22E4D">
      <w:pPr>
        <w:pStyle w:val="SuperHeading"/>
      </w:pPr>
      <w:r w:rsidRPr="00C22E4D">
        <w:t>Assessment Requirements for RIIHAN308E Load and unload plant</w:t>
      </w:r>
    </w:p>
    <w:p w:rsidR="00000000" w:rsidRPr="00C22E4D" w:rsidP="00C22E4D">
      <w:pPr>
        <w:pStyle w:val="Heading1"/>
      </w:pPr>
      <w:bookmarkStart w:id="1" w:name="O_849085"/>
      <w:bookmarkEnd w:id="1"/>
      <w:r w:rsidRPr="00C22E4D">
        <w:t>Modification History</w:t>
      </w:r>
    </w:p>
    <w:tbl>
      <w:tblPr>
        <w:tblW w:w="0" w:type="auto"/>
        <w:tblLayout w:type="fixed"/>
        <w:tblCellMar>
          <w:left w:w="62" w:type="dxa"/>
          <w:right w:w="62" w:type="dxa"/>
        </w:tblCellMar>
        <w:tblLook w:val="0000"/>
      </w:tblPr>
      <w:tblGrid>
        <w:gridCol w:w="1018"/>
        <w:gridCol w:w="7560"/>
      </w:tblGrid>
      <w:tr w:rsidTr="00C22E4D">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22E4D">
            <w:pPr>
              <w:pStyle w:val="Heading4"/>
              <w:rPr>
                <w:lang w:val="en-NZ"/>
              </w:rPr>
            </w:pPr>
            <w:r w:rsidRPr="00C22E4D">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22E4D">
            <w:pPr>
              <w:pStyle w:val="Heading4"/>
              <w:rPr>
                <w:lang w:val="en-NZ"/>
              </w:rPr>
            </w:pPr>
            <w:r w:rsidRPr="00C22E4D">
              <w:t>Comment</w:t>
            </w:r>
          </w:p>
        </w:tc>
      </w:tr>
      <w:tr w:rsidTr="00C22E4D">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22E4D">
            <w:pPr>
              <w:pStyle w:val="BodyText"/>
              <w:rPr>
                <w:lang w:val="en-NZ"/>
              </w:rPr>
            </w:pPr>
            <w:r w:rsidRPr="00C22E4D">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22E4D" w:rsidP="00C22E4D">
            <w:pPr>
              <w:pStyle w:val="BodyText"/>
            </w:pPr>
            <w:r w:rsidRPr="00C22E4D">
              <w:t>This unit replaces RIIHAN308D Load and unload plant. Added performance criteria 2.7 securing plant and mapping table.</w:t>
            </w:r>
          </w:p>
        </w:tc>
      </w:tr>
    </w:tbl>
    <w:p w:rsidR="00000000" w:rsidRPr="00C22E4D" w:rsidP="00C22E4D">
      <w:pPr>
        <w:pStyle w:val="BodyText"/>
      </w:pPr>
    </w:p>
    <w:p w:rsidR="00000000" w:rsidRPr="00C22E4D" w:rsidP="00C22E4D">
      <w:pPr>
        <w:pStyle w:val="AllowPageBreak"/>
      </w:pPr>
    </w:p>
    <w:p w:rsidR="00000000" w:rsidRPr="00C22E4D" w:rsidP="00C22E4D">
      <w:pPr>
        <w:pStyle w:val="Heading1"/>
      </w:pPr>
      <w:bookmarkStart w:id="2" w:name="O_849088"/>
      <w:bookmarkEnd w:id="2"/>
      <w:r w:rsidRPr="00C22E4D">
        <w:t>Performance Evidence</w:t>
      </w:r>
    </w:p>
    <w:p w:rsidR="00000000" w:rsidRPr="00C22E4D" w:rsidP="00EA7870">
      <w:pPr>
        <w:pStyle w:val="BodyText"/>
      </w:pPr>
      <w:r w:rsidRPr="00C22E4D">
        <w:t xml:space="preserve">Evidence is required to be collected that </w:t>
      </w:r>
      <w:r w:rsidRPr="00C22E4D">
        <w:t>demonstrates a candidate’s competency in this unit. Evidence must be relevant to the roles within this sector’s work operations and satisfy all of the requirements of the performance criteria of this unit and include evidence that the candidate:</w:t>
      </w:r>
    </w:p>
    <w:p w:rsidR="00000000" w:rsidRPr="00C22E4D" w:rsidP="00C22E4D">
      <w:pPr>
        <w:pStyle w:val="ListBullet"/>
      </w:pPr>
      <w:r w:rsidRPr="00C22E4D">
        <w:t>locates a</w:t>
      </w:r>
      <w:r w:rsidRPr="00C22E4D">
        <w:t>nd applies relevant documentation, policies and procedures</w:t>
      </w:r>
    </w:p>
    <w:p w:rsidR="00000000" w:rsidRPr="00C22E4D" w:rsidP="00C22E4D">
      <w:pPr>
        <w:pStyle w:val="ListBullet"/>
      </w:pPr>
      <w:r w:rsidRPr="00C22E4D">
        <w:t>implements the requirements, procedures and techniques for the safe, effective and efficient completion of loading and unloading plant including:</w:t>
      </w:r>
    </w:p>
    <w:p w:rsidR="00000000" w:rsidRPr="00C22E4D" w:rsidP="00C22E4D">
      <w:pPr>
        <w:pStyle w:val="ListBullet2"/>
      </w:pPr>
      <w:r w:rsidRPr="00C22E4D">
        <w:t>applying operational safety</w:t>
      </w:r>
    </w:p>
    <w:p w:rsidR="00000000" w:rsidRPr="00C22E4D" w:rsidP="00C22E4D">
      <w:pPr>
        <w:pStyle w:val="ListBullet2"/>
      </w:pPr>
      <w:r w:rsidRPr="00C22E4D">
        <w:t>driving mobile plant</w:t>
      </w:r>
    </w:p>
    <w:p w:rsidR="00000000" w:rsidRPr="00C22E4D" w:rsidP="00C22E4D">
      <w:pPr>
        <w:pStyle w:val="ListBullet2"/>
      </w:pPr>
      <w:r w:rsidRPr="00C22E4D">
        <w:t>accessing, interpreting and applying technical information</w:t>
      </w:r>
    </w:p>
    <w:p w:rsidR="00000000" w:rsidRPr="00C22E4D" w:rsidP="00C22E4D">
      <w:pPr>
        <w:pStyle w:val="ListBullet2"/>
      </w:pPr>
      <w:r w:rsidRPr="00C22E4D">
        <w:t>calculating volume and weights</w:t>
      </w:r>
    </w:p>
    <w:p w:rsidR="00000000" w:rsidRPr="00C22E4D" w:rsidP="00C22E4D">
      <w:pPr>
        <w:pStyle w:val="ListBullet2"/>
      </w:pPr>
      <w:r w:rsidRPr="00C22E4D">
        <w:t>maintaining equipment records</w:t>
      </w:r>
    </w:p>
    <w:p w:rsidR="00000000" w:rsidRPr="00C22E4D" w:rsidP="00C22E4D">
      <w:pPr>
        <w:pStyle w:val="ListBullet2"/>
      </w:pPr>
      <w:r w:rsidRPr="00C22E4D">
        <w:t>applying fault finding techniques</w:t>
      </w:r>
    </w:p>
    <w:p w:rsidR="00000000" w:rsidRPr="00C22E4D" w:rsidP="00C22E4D">
      <w:pPr>
        <w:pStyle w:val="ListBullet2"/>
      </w:pPr>
      <w:r w:rsidRPr="00C22E4D">
        <w:t>complying with environmental requirements</w:t>
      </w:r>
    </w:p>
    <w:p w:rsidR="00000000" w:rsidRPr="00C22E4D" w:rsidP="00C22E4D">
      <w:pPr>
        <w:pStyle w:val="ListBullet2"/>
      </w:pPr>
      <w:r w:rsidRPr="00C22E4D">
        <w:t>disposing of environmentally sensitive fluids and materials</w:t>
      </w:r>
    </w:p>
    <w:p w:rsidR="00000000" w:rsidRPr="00C22E4D" w:rsidP="00C22E4D">
      <w:pPr>
        <w:pStyle w:val="ListBullet"/>
      </w:pPr>
      <w:r w:rsidRPr="00C22E4D">
        <w:t>works effectively with others to undertake and complete the loading and unloading plant that meets all of the required outcomes including:</w:t>
      </w:r>
    </w:p>
    <w:p w:rsidR="00000000" w:rsidRPr="00C22E4D" w:rsidP="00C22E4D">
      <w:pPr>
        <w:pStyle w:val="ListBullet2"/>
      </w:pPr>
      <w:r w:rsidRPr="00C22E4D">
        <w:t>complying with written and verbal reporting requirements and procedures</w:t>
      </w:r>
    </w:p>
    <w:p w:rsidR="00000000" w:rsidRPr="00C22E4D" w:rsidP="00C22E4D">
      <w:pPr>
        <w:pStyle w:val="ListBullet2"/>
      </w:pPr>
      <w:r w:rsidRPr="00C22E4D">
        <w:t>communicating clearly and concisely with ot</w:t>
      </w:r>
      <w:r w:rsidRPr="00C22E4D">
        <w:t>hers to receive and clarify work instructions</w:t>
      </w:r>
    </w:p>
    <w:p w:rsidR="00000000" w:rsidRPr="00C22E4D" w:rsidP="00C22E4D">
      <w:pPr>
        <w:pStyle w:val="ListBullet2"/>
      </w:pPr>
      <w:r w:rsidRPr="00C22E4D">
        <w:t>communicating clearly and concisely with others to resolve coordination requirements prior to commencing and during work activities</w:t>
      </w:r>
    </w:p>
    <w:p w:rsidR="00000000" w:rsidRPr="00C22E4D" w:rsidP="00C22E4D">
      <w:pPr>
        <w:pStyle w:val="ListBullet"/>
      </w:pPr>
      <w:r w:rsidRPr="00C22E4D">
        <w:t>demonstrates completion of loading and unloading plant that safely, effective</w:t>
      </w:r>
      <w:r w:rsidRPr="00C22E4D">
        <w:t>ly and efficiently meets all of the required outcomes on more than one (1) occasion including:</w:t>
      </w:r>
    </w:p>
    <w:p w:rsidR="00000000" w:rsidRPr="00C22E4D" w:rsidP="00C22E4D">
      <w:pPr>
        <w:pStyle w:val="ListBullet2"/>
      </w:pPr>
      <w:r w:rsidRPr="00C22E4D">
        <w:t>selecting, checking and using the required tools and equipment</w:t>
      </w:r>
    </w:p>
    <w:p w:rsidR="00000000" w:rsidRPr="00C22E4D" w:rsidP="00C22E4D">
      <w:pPr>
        <w:pStyle w:val="ListBullet2"/>
      </w:pPr>
      <w:r w:rsidRPr="00C22E4D">
        <w:t>placing and securing loading and unloading aids</w:t>
      </w:r>
    </w:p>
    <w:p w:rsidR="00000000" w:rsidRPr="00C22E4D" w:rsidP="00C22E4D">
      <w:pPr>
        <w:pStyle w:val="ListBullet2"/>
      </w:pPr>
      <w:r w:rsidRPr="00C22E4D">
        <w:t>moving the plant item onto and off the trailer/float</w:t>
      </w:r>
    </w:p>
    <w:p w:rsidR="00000000" w:rsidRPr="00C22E4D" w:rsidP="00C22E4D">
      <w:pPr>
        <w:pStyle w:val="ListBullet2"/>
      </w:pPr>
      <w:r w:rsidRPr="00C22E4D">
        <w:t>slackening securing devices and removing in a safe sequence</w:t>
      </w:r>
    </w:p>
    <w:p w:rsidR="00000000" w:rsidRPr="00C22E4D" w:rsidP="00C22E4D">
      <w:pPr>
        <w:pStyle w:val="AllowPageBreak"/>
      </w:pPr>
    </w:p>
    <w:p w:rsidR="00000000" w:rsidRPr="00C22E4D" w:rsidP="00C22E4D">
      <w:pPr>
        <w:pStyle w:val="Heading1"/>
      </w:pPr>
      <w:bookmarkStart w:id="3" w:name="O_849087"/>
      <w:bookmarkEnd w:id="3"/>
      <w:r w:rsidRPr="00C22E4D">
        <w:t>Knowledge Evidence</w:t>
      </w:r>
    </w:p>
    <w:p w:rsidR="00000000" w:rsidRPr="00C22E4D" w:rsidP="00EA7870">
      <w:pPr>
        <w:pStyle w:val="BodyText"/>
      </w:pPr>
      <w:r w:rsidRPr="00C22E4D">
        <w:t>The candidate must demonstrate knowledge of the following when loading and unloading plant:</w:t>
      </w:r>
    </w:p>
    <w:p w:rsidR="00000000" w:rsidRPr="00C22E4D" w:rsidP="00C22E4D">
      <w:pPr>
        <w:pStyle w:val="ListBullet"/>
      </w:pPr>
      <w:r w:rsidRPr="00C22E4D">
        <w:t>National Stand</w:t>
      </w:r>
      <w:r w:rsidRPr="00C22E4D">
        <w:t>ard for high risk work</w:t>
      </w:r>
    </w:p>
    <w:p w:rsidR="00000000" w:rsidRPr="00C22E4D" w:rsidP="00C22E4D">
      <w:pPr>
        <w:pStyle w:val="ListBullet"/>
      </w:pPr>
      <w:r w:rsidRPr="00C22E4D">
        <w:t>site and equipment safety requirements</w:t>
      </w:r>
    </w:p>
    <w:p w:rsidR="00000000" w:rsidRPr="00C22E4D" w:rsidP="00C22E4D">
      <w:pPr>
        <w:pStyle w:val="ListBullet"/>
      </w:pPr>
      <w:r w:rsidRPr="00C22E4D">
        <w:t>understanding of required hand signals</w:t>
      </w:r>
    </w:p>
    <w:p w:rsidR="00000000" w:rsidRPr="00C22E4D" w:rsidP="00C22E4D">
      <w:pPr>
        <w:pStyle w:val="ListBullet"/>
      </w:pPr>
      <w:r w:rsidRPr="00C22E4D">
        <w:t>techniques and processes for preparing plant for transportation</w:t>
      </w:r>
    </w:p>
    <w:p w:rsidR="00000000" w:rsidRPr="00C22E4D" w:rsidP="00C22E4D">
      <w:pPr>
        <w:pStyle w:val="ListBullet"/>
      </w:pPr>
      <w:r w:rsidRPr="00C22E4D">
        <w:t>basic motion and restraint theory related to heavy plant on floats or trailers</w:t>
      </w:r>
    </w:p>
    <w:p w:rsidR="00000000" w:rsidRPr="00C22E4D" w:rsidP="00C22E4D">
      <w:pPr>
        <w:pStyle w:val="ListBullet"/>
      </w:pPr>
      <w:r w:rsidRPr="00C22E4D">
        <w:t>basic centre</w:t>
      </w:r>
      <w:r w:rsidRPr="00C22E4D">
        <w:t xml:space="preserve"> of gravity and balance theory related to heavy plant on floats or trailers</w:t>
      </w:r>
    </w:p>
    <w:p w:rsidR="00000000" w:rsidRPr="00C22E4D" w:rsidP="00C22E4D">
      <w:pPr>
        <w:pStyle w:val="ListBullet"/>
      </w:pPr>
      <w:r w:rsidRPr="00C22E4D">
        <w:t>types, operation, uses and imitations of load securing equipment</w:t>
      </w:r>
    </w:p>
    <w:p w:rsidR="00000000" w:rsidRPr="00C22E4D" w:rsidP="00C22E4D">
      <w:pPr>
        <w:pStyle w:val="ListBullet"/>
      </w:pPr>
      <w:r w:rsidRPr="00C22E4D">
        <w:t>site isolation and traffic control responsibilities and authorities</w:t>
      </w:r>
    </w:p>
    <w:p w:rsidR="00000000" w:rsidRPr="00C22E4D" w:rsidP="00C22E4D">
      <w:pPr>
        <w:pStyle w:val="ListBullet"/>
      </w:pPr>
      <w:r w:rsidRPr="00C22E4D">
        <w:t>materials safety data sheet</w:t>
      </w:r>
    </w:p>
    <w:p w:rsidR="00000000" w:rsidRPr="00C22E4D" w:rsidP="00C22E4D">
      <w:pPr>
        <w:pStyle w:val="ListBullet"/>
      </w:pPr>
      <w:r w:rsidRPr="00C22E4D">
        <w:t>levelling techniques</w:t>
      </w:r>
    </w:p>
    <w:p w:rsidR="00000000" w:rsidRPr="00C22E4D" w:rsidP="00C22E4D">
      <w:pPr>
        <w:pStyle w:val="ListBullet"/>
      </w:pPr>
      <w:r w:rsidRPr="00C22E4D">
        <w:t>job safety analyses/safe work method statement</w:t>
      </w:r>
    </w:p>
    <w:p w:rsidR="00000000" w:rsidRPr="00C22E4D" w:rsidP="00C22E4D">
      <w:pPr>
        <w:pStyle w:val="AllowPageBreak"/>
      </w:pPr>
    </w:p>
    <w:p w:rsidR="00000000" w:rsidRPr="00C22E4D" w:rsidP="00C22E4D">
      <w:pPr>
        <w:pStyle w:val="Heading1"/>
      </w:pPr>
      <w:bookmarkStart w:id="4" w:name="O_849086"/>
      <w:bookmarkEnd w:id="4"/>
      <w:r w:rsidRPr="00C22E4D">
        <w:t>Assessment Conditions</w:t>
      </w:r>
    </w:p>
    <w:p w:rsidR="00000000" w:rsidRPr="00C22E4D" w:rsidP="00C22E4D">
      <w:pPr>
        <w:pStyle w:val="ListBullet"/>
      </w:pPr>
      <w:r w:rsidRPr="00C22E4D">
        <w:t>Assessors must satisfy the Standards for Registered Training Organisations (RTOs) 2015/AQTF mandatory competency requirements for assessors; and ind</w:t>
      </w:r>
      <w:r w:rsidRPr="00C22E4D">
        <w:t xml:space="preserve">ustry regulations for certification and licensing; and, </w:t>
      </w:r>
    </w:p>
    <w:p w:rsidR="00000000" w:rsidRPr="00C22E4D" w:rsidP="00C22E4D">
      <w:pPr>
        <w:pStyle w:val="ListBullet"/>
      </w:pPr>
      <w:r w:rsidRPr="00C22E4D">
        <w:t>this unit is best assessed in the context of this sector’s work environment;</w:t>
      </w:r>
    </w:p>
    <w:p w:rsidR="00000000" w:rsidRPr="00C22E4D" w:rsidP="00C22E4D">
      <w:pPr>
        <w:pStyle w:val="ListBullet"/>
      </w:pPr>
      <w:r w:rsidRPr="00C22E4D">
        <w:t>where personal safety or environmental damage are limiting factors, assessment may occur in a simulated environment provid</w:t>
      </w:r>
      <w:r w:rsidRPr="00C22E4D">
        <w:t>ed it is realistic and sufficiently rigorous to cover all aspects of this sector’s workplace performance, including environment, task skills, task management skills, contingency management skills and job role environment skills; and,</w:t>
      </w:r>
    </w:p>
    <w:p w:rsidR="00000000" w:rsidRPr="00C22E4D" w:rsidP="00C22E4D">
      <w:pPr>
        <w:pStyle w:val="ListBullet"/>
      </w:pPr>
      <w:r w:rsidRPr="00C22E4D">
        <w:t>this unit must be asse</w:t>
      </w:r>
      <w:r w:rsidRPr="00C22E4D">
        <w:t>ssed in compliance with relevant legislation/regulation and using policies, procedures, processes and operational manuals directly related to the industry sector for which it is being assessed; and,</w:t>
      </w:r>
    </w:p>
    <w:p w:rsidR="00000000" w:rsidRPr="00C22E4D" w:rsidP="00C22E4D">
      <w:pPr>
        <w:pStyle w:val="ListBullet"/>
      </w:pPr>
      <w:r w:rsidRPr="00C22E4D">
        <w:t>assessment may be conducted in conjunction with the asses</w:t>
      </w:r>
      <w:r w:rsidRPr="00C22E4D">
        <w:t>sment of other units of competency; and,</w:t>
      </w:r>
    </w:p>
    <w:p w:rsidR="00000000" w:rsidRPr="00C22E4D" w:rsidP="00C22E4D">
      <w:pPr>
        <w:pStyle w:val="ListBullet"/>
      </w:pPr>
      <w:r w:rsidRPr="00C22E4D">
        <w:t>assessment must confirm consistent performance can be applied in a range of relevant workplace circumstances; and,</w:t>
      </w:r>
    </w:p>
    <w:p w:rsidR="00000000" w:rsidRPr="00C22E4D" w:rsidP="00C22E4D">
      <w:pPr>
        <w:pStyle w:val="ListBullet"/>
      </w:pPr>
      <w:r w:rsidRPr="00C22E4D">
        <w:t>assessors must demonstrate the performance evidence, and knowledge evidence as outlined in this unit</w:t>
      </w:r>
      <w:r w:rsidRPr="00C22E4D">
        <w:t xml:space="preserve"> of competency, and through the minimum years of current* work experience specified below in an industry sector relevant to the outcomes of the unit; or,</w:t>
      </w:r>
    </w:p>
    <w:p w:rsidR="00000000" w:rsidRPr="00C22E4D" w:rsidP="00C22E4D">
      <w:pPr>
        <w:pStyle w:val="ListBullet"/>
      </w:pPr>
      <w:r w:rsidRPr="00C22E4D">
        <w:t>where the assessor does not meet experience requirements a co-assessment or partnership arrangement mu</w:t>
      </w:r>
      <w:r w:rsidRPr="00C22E4D">
        <w:t>st exist between the qualified assessor and an industry subject matter expert. The industry subject matter expert should hold the unit being assessed (or an equivalent unit) and/or demonstrate equivalence of skills and knowledge at the unit level. An indus</w:t>
      </w:r>
      <w:r w:rsidRPr="00C22E4D">
        <w:t>try technical expert must also demonstrate skills and knowledge from the minimum years of current work experience specified below in the industry sector, including time spent in roles related to the unit being assessed; and,</w:t>
      </w:r>
    </w:p>
    <w:p w:rsidR="00000000" w:rsidRPr="00C22E4D" w:rsidP="00C22E4D">
      <w:pPr>
        <w:pStyle w:val="ListBullet"/>
      </w:pPr>
      <w:r w:rsidRPr="00C22E4D">
        <w:t>assessor and industry subject m</w:t>
      </w:r>
      <w:r w:rsidRPr="00C22E4D">
        <w:t>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22E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Heading4"/>
              <w:rPr>
                <w:lang w:val="en-NZ"/>
              </w:rPr>
            </w:pPr>
            <w:r w:rsidRPr="00C22E4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Heading4"/>
              <w:rPr>
                <w:lang w:val="en-NZ"/>
              </w:rPr>
            </w:pPr>
            <w:r w:rsidRPr="00C22E4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Heading4"/>
              <w:rPr>
                <w:lang w:val="en-NZ"/>
              </w:rPr>
            </w:pPr>
            <w:r w:rsidRPr="00C22E4D">
              <w:t>Required assessor or industry subject matter expert experie</w:t>
            </w:r>
            <w:r w:rsidRPr="00C22E4D">
              <w:t>nce</w:t>
            </w:r>
          </w:p>
        </w:tc>
      </w:tr>
      <w:tr w:rsidTr="00C22E4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1 Year</w:t>
            </w:r>
          </w:p>
        </w:tc>
      </w:tr>
      <w:tr w:rsidTr="00C22E4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2 Years</w:t>
            </w:r>
          </w:p>
        </w:tc>
      </w:tr>
      <w:tr w:rsidTr="00C22E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3 Years</w:t>
            </w:r>
          </w:p>
        </w:tc>
      </w:tr>
      <w:tr w:rsidTr="00C22E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5 Years</w:t>
            </w:r>
          </w:p>
        </w:tc>
      </w:tr>
      <w:tr w:rsidTr="00C22E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E4D">
            <w:pPr>
              <w:pStyle w:val="BodyText"/>
              <w:rPr>
                <w:lang w:val="en-NZ"/>
              </w:rPr>
            </w:pPr>
            <w:r w:rsidRPr="00C22E4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2E4D" w:rsidP="00C22E4D">
            <w:pPr>
              <w:pStyle w:val="BodyText"/>
            </w:pPr>
            <w:r w:rsidRPr="00C22E4D">
              <w:t>Where this unit is being assessed outside of the Resources and Infrastructure Sectors, assessor and/or industry subject matter expert experience should be in-line with industry standards for the sector in which it is being assessed and, where no industry s</w:t>
            </w:r>
            <w:r w:rsidRPr="00C22E4D">
              <w:t>tandard is specified, should comply with any relevant regulation.</w:t>
            </w:r>
          </w:p>
        </w:tc>
      </w:tr>
    </w:tbl>
    <w:p w:rsidR="00000000" w:rsidRPr="00C22E4D" w:rsidP="00EA7870">
      <w:pPr>
        <w:pStyle w:val="BodyText"/>
      </w:pPr>
      <w:r w:rsidRPr="00C22E4D">
        <w:t>*Assessors can demonstrate current work experience through employment within industry in a role relevant to the outcomes of the unit; or, for external assessors this can be demonstrated th</w:t>
      </w:r>
      <w:r w:rsidRPr="00C22E4D">
        <w:t>rough exposure to industry by conducting frequent site assessments across various locations.</w:t>
      </w:r>
    </w:p>
    <w:p w:rsidR="00000000" w:rsidRPr="00C22E4D" w:rsidP="00EA7870">
      <w:pPr>
        <w:pStyle w:val="BodyText"/>
      </w:pPr>
      <w:r w:rsidRPr="00C22E4D">
        <w:t>**Where a unit is being delivered outside of a qualification the first numeric character in the unit code should be considered to indicate the AQF level.</w:t>
      </w:r>
    </w:p>
    <w:p w:rsidR="00000000" w:rsidRPr="00C22E4D" w:rsidP="00C22E4D">
      <w:pPr>
        <w:pStyle w:val="Heading1"/>
      </w:pPr>
      <w:bookmarkStart w:id="5" w:name="O_849084"/>
      <w:bookmarkEnd w:id="5"/>
      <w:r w:rsidRPr="00C22E4D">
        <w:t>Links</w:t>
      </w:r>
    </w:p>
    <w:p w:rsidR="00000000" w:rsidRPr="00C22E4D" w:rsidP="00EA7870">
      <w:pPr>
        <w:pStyle w:val="BodyText"/>
      </w:pPr>
      <w:r w:rsidRPr="00C22E4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430D">
        <w:rPr>
          <w:rStyle w:val="Hyperlink"/>
        </w:rPr>
        <w:t>https://vetnet.gov.au/Pages/TrainingDocs.aspx?q=88a61002-9a21-4386-aaf8-69c76e675272</w:t>
      </w:r>
      <w:r>
        <w:fldChar w:fldCharType="end"/>
      </w:r>
    </w:p>
    <w:p w:rsidR="00000000" w:rsidRPr="00C22E4D" w:rsidP="00C22E4D"/>
    <w:sectPr w:rsidSect="00C22E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4D" w:rsidRPr="00EA7870" w:rsidP="00EA7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70" w:rsidP="00C22E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870" w:rsidP="00C22E4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A7870" w:rsidP="00C22E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E4D" w:rsidRPr="00EA7870" w:rsidP="00EA7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70" w:rsidRPr="002D2AF8" w:rsidP="00C22E4D">
    <w:pPr>
      <w:pStyle w:val="Header"/>
      <w:framePr w:wrap="around"/>
    </w:pPr>
    <w:r>
      <w:fldChar w:fldCharType="begin"/>
    </w:r>
    <w:r>
      <w:instrText xml:space="preserve"> TITLE   \* MERGEFORMAT </w:instrText>
    </w:r>
    <w:r>
      <w:fldChar w:fldCharType="separate"/>
    </w:r>
    <w:r>
      <w:t>Assessment Requirements for RIIHAN308E Load and unload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EA7870" w:rsidP="00C22E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B0D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E8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E23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E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E4D"/>
    <w:pPr>
      <w:spacing w:before="360" w:after="60"/>
      <w:outlineLvl w:val="0"/>
    </w:pPr>
    <w:rPr>
      <w:sz w:val="32"/>
    </w:rPr>
  </w:style>
  <w:style w:type="paragraph" w:styleId="Heading2">
    <w:name w:val="heading 2"/>
    <w:basedOn w:val="HeadingBase"/>
    <w:next w:val="BodyText"/>
    <w:link w:val="Heading2Char"/>
    <w:qFormat/>
    <w:rsid w:val="00C22E4D"/>
    <w:pPr>
      <w:keepLines/>
      <w:spacing w:before="240" w:after="120"/>
      <w:outlineLvl w:val="1"/>
    </w:pPr>
    <w:rPr>
      <w:sz w:val="28"/>
      <w:szCs w:val="40"/>
    </w:rPr>
  </w:style>
  <w:style w:type="paragraph" w:styleId="Heading3">
    <w:name w:val="heading 3"/>
    <w:basedOn w:val="HeadingBase"/>
    <w:next w:val="BodyText"/>
    <w:link w:val="Heading3Char"/>
    <w:qFormat/>
    <w:rsid w:val="00C22E4D"/>
    <w:pPr>
      <w:spacing w:before="180" w:after="120"/>
      <w:outlineLvl w:val="2"/>
    </w:pPr>
    <w:rPr>
      <w:spacing w:val="-10"/>
      <w:kern w:val="32"/>
    </w:rPr>
  </w:style>
  <w:style w:type="paragraph" w:styleId="Heading4">
    <w:name w:val="heading 4"/>
    <w:basedOn w:val="HeadingBase"/>
    <w:next w:val="BodyText"/>
    <w:link w:val="Heading4Char"/>
    <w:qFormat/>
    <w:rsid w:val="00C22E4D"/>
    <w:pPr>
      <w:spacing w:before="160" w:after="120"/>
      <w:outlineLvl w:val="3"/>
    </w:pPr>
    <w:rPr>
      <w:sz w:val="22"/>
    </w:rPr>
  </w:style>
  <w:style w:type="paragraph" w:styleId="Heading5">
    <w:name w:val="heading 5"/>
    <w:basedOn w:val="HeadingBase"/>
    <w:next w:val="Normal"/>
    <w:link w:val="Heading5Char"/>
    <w:qFormat/>
    <w:rsid w:val="00C22E4D"/>
    <w:pPr>
      <w:spacing w:before="80"/>
      <w:outlineLvl w:val="4"/>
    </w:pPr>
    <w:rPr>
      <w:color w:val="918585"/>
      <w:sz w:val="20"/>
    </w:rPr>
  </w:style>
  <w:style w:type="paragraph" w:styleId="Heading6">
    <w:name w:val="heading 6"/>
    <w:basedOn w:val="HeadingBase"/>
    <w:next w:val="Normal"/>
    <w:link w:val="Heading6Char"/>
    <w:qFormat/>
    <w:rsid w:val="00C22E4D"/>
    <w:pPr>
      <w:spacing w:before="60"/>
      <w:outlineLvl w:val="5"/>
    </w:pPr>
    <w:rPr>
      <w:color w:val="918585"/>
      <w:sz w:val="20"/>
    </w:rPr>
  </w:style>
  <w:style w:type="paragraph" w:styleId="Heading7">
    <w:name w:val="heading 7"/>
    <w:basedOn w:val="Normal"/>
    <w:next w:val="Normal"/>
    <w:link w:val="Heading7Char"/>
    <w:qFormat/>
    <w:rsid w:val="00C22E4D"/>
    <w:pPr>
      <w:ind w:left="720"/>
      <w:outlineLvl w:val="6"/>
    </w:pPr>
    <w:rPr>
      <w:i/>
    </w:rPr>
  </w:style>
  <w:style w:type="paragraph" w:styleId="Heading8">
    <w:name w:val="heading 8"/>
    <w:basedOn w:val="Normal"/>
    <w:next w:val="Normal"/>
    <w:link w:val="Heading8Char"/>
    <w:qFormat/>
    <w:rsid w:val="00C22E4D"/>
    <w:pPr>
      <w:ind w:left="720"/>
      <w:outlineLvl w:val="7"/>
    </w:pPr>
    <w:rPr>
      <w:i/>
    </w:rPr>
  </w:style>
  <w:style w:type="paragraph" w:styleId="Heading9">
    <w:name w:val="heading 9"/>
    <w:basedOn w:val="Normal"/>
    <w:next w:val="Normal"/>
    <w:link w:val="Heading9Char"/>
    <w:qFormat/>
    <w:rsid w:val="00C22E4D"/>
    <w:pPr>
      <w:ind w:left="720"/>
      <w:outlineLvl w:val="8"/>
    </w:pPr>
    <w:rPr>
      <w:i/>
    </w:rPr>
  </w:style>
  <w:style w:type="character" w:default="1" w:styleId="DefaultParagraphFont">
    <w:name w:val="Default Paragraph Font"/>
    <w:uiPriority w:val="1"/>
    <w:unhideWhenUsed/>
    <w:rsid w:val="00C22E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E4D"/>
  </w:style>
  <w:style w:type="character" w:customStyle="1" w:styleId="Heading1Char">
    <w:name w:val="Heading 1 Char"/>
    <w:basedOn w:val="DefaultParagraphFont"/>
    <w:link w:val="Heading1"/>
    <w:rsid w:val="00C22E4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22E4D"/>
    <w:rPr>
      <w:rFonts w:ascii="Times New Roman" w:eastAsia="Times New Roman" w:hAnsi="Times New Roman" w:cs="Times New Roman"/>
      <w:b/>
      <w:szCs w:val="20"/>
      <w:lang w:eastAsia="en-US"/>
    </w:rPr>
  </w:style>
  <w:style w:type="paragraph" w:styleId="BodyText">
    <w:name w:val="Body Text"/>
    <w:basedOn w:val="Normal"/>
    <w:link w:val="BodyTextChar"/>
    <w:rsid w:val="00C22E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E4D"/>
    <w:rPr>
      <w:rFonts w:ascii="Times New Roman" w:eastAsia="Times New Roman" w:hAnsi="Times New Roman" w:cs="Times New Roman"/>
      <w:sz w:val="24"/>
      <w:lang w:eastAsia="en-US"/>
    </w:rPr>
  </w:style>
  <w:style w:type="paragraph" w:styleId="ListBullet">
    <w:name w:val="List Bullet"/>
    <w:basedOn w:val="List"/>
    <w:rsid w:val="00C22E4D"/>
    <w:pPr>
      <w:numPr>
        <w:numId w:val="12"/>
      </w:numPr>
      <w:tabs>
        <w:tab w:val="clear" w:pos="340"/>
      </w:tabs>
      <w:spacing w:before="40" w:after="40"/>
    </w:pPr>
  </w:style>
  <w:style w:type="paragraph" w:styleId="ListBullet2">
    <w:name w:val="List Bullet 2"/>
    <w:basedOn w:val="List2"/>
    <w:rsid w:val="00C22E4D"/>
    <w:pPr>
      <w:numPr>
        <w:numId w:val="13"/>
      </w:numPr>
      <w:tabs>
        <w:tab w:val="clear" w:pos="680"/>
      </w:tabs>
    </w:pPr>
  </w:style>
  <w:style w:type="paragraph" w:customStyle="1" w:styleId="SuperHeading">
    <w:name w:val="SuperHeading"/>
    <w:basedOn w:val="Normal"/>
    <w:rsid w:val="00C22E4D"/>
    <w:pPr>
      <w:spacing w:before="240" w:after="120"/>
      <w:outlineLvl w:val="0"/>
    </w:pPr>
    <w:rPr>
      <w:rFonts w:ascii="Times New Roman" w:hAnsi="Times New Roman"/>
      <w:b/>
      <w:sz w:val="32"/>
    </w:rPr>
  </w:style>
  <w:style w:type="paragraph" w:customStyle="1" w:styleId="AllowPageBreak">
    <w:name w:val="AllowPageBreak"/>
    <w:rsid w:val="00C22E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E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E4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22E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E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E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E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E4D"/>
    <w:rPr>
      <w:rFonts w:ascii="Courier New" w:eastAsia="Times New Roman" w:hAnsi="Courier New" w:cs="Times New Roman"/>
      <w:i/>
      <w:szCs w:val="20"/>
      <w:lang w:eastAsia="en-US"/>
    </w:rPr>
  </w:style>
  <w:style w:type="paragraph" w:customStyle="1" w:styleId="HeadingBase">
    <w:name w:val="Heading Base"/>
    <w:rsid w:val="00C22E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E4D"/>
    <w:pPr>
      <w:tabs>
        <w:tab w:val="right" w:leader="dot" w:pos="9072"/>
      </w:tabs>
      <w:ind w:left="567"/>
    </w:pPr>
    <w:rPr>
      <w:szCs w:val="22"/>
    </w:rPr>
  </w:style>
  <w:style w:type="paragraph" w:customStyle="1" w:styleId="TOCBase">
    <w:name w:val="TOC Base"/>
    <w:rsid w:val="00C22E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E4D"/>
    <w:pPr>
      <w:tabs>
        <w:tab w:val="right" w:leader="dot" w:pos="9072"/>
      </w:tabs>
      <w:spacing w:before="40" w:after="40"/>
      <w:ind w:left="284"/>
    </w:pPr>
    <w:rPr>
      <w:rFonts w:ascii="Times New Roman" w:hAnsi="Times New Roman"/>
    </w:rPr>
  </w:style>
  <w:style w:type="paragraph" w:styleId="TOC1">
    <w:name w:val="toc 1"/>
    <w:basedOn w:val="TOCBase"/>
    <w:next w:val="Normal"/>
    <w:rsid w:val="00C22E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E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E4D"/>
    <w:rPr>
      <w:rFonts w:ascii="Times New Roman" w:eastAsia="Times New Roman" w:hAnsi="Times New Roman" w:cs="Times New Roman"/>
      <w:sz w:val="16"/>
      <w:lang w:eastAsia="en-US"/>
    </w:rPr>
  </w:style>
  <w:style w:type="paragraph" w:styleId="Title">
    <w:name w:val="Title"/>
    <w:basedOn w:val="HeadingBase"/>
    <w:link w:val="TitleChar"/>
    <w:qFormat/>
    <w:rsid w:val="00C22E4D"/>
    <w:pPr>
      <w:spacing w:before="5040"/>
      <w:jc w:val="center"/>
    </w:pPr>
    <w:rPr>
      <w:sz w:val="48"/>
      <w:szCs w:val="72"/>
      <w:lang w:val="en-US"/>
    </w:rPr>
  </w:style>
  <w:style w:type="character" w:customStyle="1" w:styleId="TitleChar">
    <w:name w:val="Title Char"/>
    <w:basedOn w:val="DefaultParagraphFont"/>
    <w:link w:val="Title"/>
    <w:rsid w:val="00C22E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E4D"/>
    <w:pPr>
      <w:tabs>
        <w:tab w:val="left" w:pos="3600"/>
        <w:tab w:val="left" w:pos="3958"/>
      </w:tabs>
    </w:pPr>
  </w:style>
  <w:style w:type="paragraph" w:styleId="List">
    <w:name w:val="List"/>
    <w:basedOn w:val="BodyText"/>
    <w:next w:val="BodyText"/>
    <w:rsid w:val="00C22E4D"/>
    <w:pPr>
      <w:tabs>
        <w:tab w:val="left" w:pos="340"/>
      </w:tabs>
      <w:spacing w:before="60" w:after="60"/>
      <w:ind w:left="340" w:hanging="340"/>
    </w:pPr>
  </w:style>
  <w:style w:type="paragraph" w:customStyle="1" w:styleId="Note">
    <w:name w:val="Note"/>
    <w:basedOn w:val="BodyText"/>
    <w:rsid w:val="00C22E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2E4D"/>
    <w:rPr>
      <w:b/>
      <w:spacing w:val="0"/>
    </w:rPr>
  </w:style>
  <w:style w:type="paragraph" w:customStyle="1" w:styleId="SuperTitle">
    <w:name w:val="SuperTitle"/>
    <w:basedOn w:val="Title"/>
    <w:rsid w:val="00C22E4D"/>
    <w:pPr>
      <w:framePr w:wrap="auto" w:hAnchor="text" w:y="6049"/>
    </w:pPr>
    <w:rPr>
      <w:color w:val="000000"/>
      <w:sz w:val="40"/>
    </w:rPr>
  </w:style>
  <w:style w:type="paragraph" w:customStyle="1" w:styleId="TOCTitle">
    <w:name w:val="TOCTitle"/>
    <w:basedOn w:val="Heading1"/>
    <w:rsid w:val="00C22E4D"/>
    <w:pPr>
      <w:spacing w:after="240"/>
      <w:jc w:val="center"/>
      <w:outlineLvl w:val="9"/>
    </w:pPr>
    <w:rPr>
      <w:caps/>
    </w:rPr>
  </w:style>
  <w:style w:type="paragraph" w:customStyle="1" w:styleId="Version">
    <w:name w:val="Version"/>
    <w:rsid w:val="00C22E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E4D"/>
    <w:pPr>
      <w:keepNext w:val="0"/>
      <w:tabs>
        <w:tab w:val="right" w:pos="4176"/>
      </w:tabs>
      <w:ind w:left="198" w:hanging="198"/>
    </w:pPr>
    <w:rPr>
      <w:rFonts w:ascii="Garamond" w:hAnsi="Garamond"/>
    </w:rPr>
  </w:style>
  <w:style w:type="paragraph" w:styleId="IndexHeading">
    <w:name w:val="index heading"/>
    <w:basedOn w:val="Normal"/>
    <w:next w:val="Index1"/>
    <w:semiHidden/>
    <w:rsid w:val="00C22E4D"/>
    <w:pPr>
      <w:spacing w:before="120" w:after="120"/>
    </w:pPr>
    <w:rPr>
      <w:rFonts w:ascii="Arial" w:hAnsi="Arial"/>
      <w:b/>
      <w:color w:val="918585"/>
      <w:sz w:val="24"/>
    </w:rPr>
  </w:style>
  <w:style w:type="paragraph" w:styleId="Header">
    <w:name w:val="header"/>
    <w:basedOn w:val="Normal"/>
    <w:link w:val="HeaderChar"/>
    <w:rsid w:val="00C22E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E4D"/>
    <w:rPr>
      <w:rFonts w:ascii="Times New Roman" w:eastAsia="Times New Roman" w:hAnsi="Times New Roman" w:cs="Times New Roman"/>
      <w:sz w:val="16"/>
      <w:szCs w:val="20"/>
      <w:lang w:val="en-GB" w:eastAsia="en-US"/>
    </w:rPr>
  </w:style>
  <w:style w:type="paragraph" w:customStyle="1" w:styleId="Chapter">
    <w:name w:val="Chapter"/>
    <w:basedOn w:val="Normal"/>
    <w:rsid w:val="00C22E4D"/>
    <w:pPr>
      <w:spacing w:before="240"/>
    </w:pPr>
    <w:rPr>
      <w:rFonts w:ascii="Times New Roman" w:hAnsi="Times New Roman"/>
      <w:smallCaps/>
      <w:spacing w:val="80"/>
      <w:sz w:val="28"/>
    </w:rPr>
  </w:style>
  <w:style w:type="paragraph" w:customStyle="1" w:styleId="InChapter">
    <w:name w:val="InChapter"/>
    <w:basedOn w:val="Heading3"/>
    <w:rsid w:val="00C22E4D"/>
    <w:pPr>
      <w:spacing w:after="240"/>
      <w:outlineLvl w:val="9"/>
    </w:pPr>
    <w:rPr>
      <w:noProof/>
    </w:rPr>
  </w:style>
  <w:style w:type="paragraph" w:styleId="Index2">
    <w:name w:val="index 2"/>
    <w:basedOn w:val="Normal"/>
    <w:next w:val="Normal"/>
    <w:semiHidden/>
    <w:rsid w:val="00C22E4D"/>
    <w:pPr>
      <w:tabs>
        <w:tab w:val="right" w:pos="4176"/>
      </w:tabs>
      <w:ind w:left="568" w:hanging="284"/>
    </w:pPr>
    <w:rPr>
      <w:rFonts w:ascii="Garamond" w:hAnsi="Garamond"/>
    </w:rPr>
  </w:style>
  <w:style w:type="paragraph" w:customStyle="1" w:styleId="Byline">
    <w:name w:val="Byline"/>
    <w:rsid w:val="00C22E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E4D"/>
    <w:pPr>
      <w:tabs>
        <w:tab w:val="clear" w:pos="3600"/>
        <w:tab w:val="clear" w:pos="3958"/>
      </w:tabs>
      <w:jc w:val="right"/>
    </w:pPr>
  </w:style>
  <w:style w:type="character" w:styleId="Emphasis">
    <w:name w:val="Emphasis"/>
    <w:basedOn w:val="DefaultParagraphFont"/>
    <w:qFormat/>
    <w:rsid w:val="00C22E4D"/>
    <w:rPr>
      <w:i/>
    </w:rPr>
  </w:style>
  <w:style w:type="paragraph" w:styleId="Caption">
    <w:name w:val="caption"/>
    <w:basedOn w:val="BodyText"/>
    <w:next w:val="Normal"/>
    <w:qFormat/>
    <w:rsid w:val="00C22E4D"/>
    <w:pPr>
      <w:framePr w:w="2268" w:hSpace="181" w:vSpace="181" w:wrap="around" w:vAnchor="text" w:hAnchor="page" w:x="1135" w:y="285" w:anchorLock="1"/>
    </w:pPr>
    <w:rPr>
      <w:i/>
    </w:rPr>
  </w:style>
  <w:style w:type="paragraph" w:customStyle="1" w:styleId="MiniTOCTitle">
    <w:name w:val="MiniTOCTitle"/>
    <w:basedOn w:val="Heading4"/>
    <w:rsid w:val="00C22E4D"/>
    <w:pPr>
      <w:spacing w:before="240"/>
      <w:outlineLvl w:val="9"/>
    </w:pPr>
    <w:rPr>
      <w:noProof/>
      <w:sz w:val="24"/>
    </w:rPr>
  </w:style>
  <w:style w:type="paragraph" w:customStyle="1" w:styleId="MiniTOCItem">
    <w:name w:val="MiniTOCItem"/>
    <w:basedOn w:val="ListBullet"/>
    <w:rsid w:val="00C22E4D"/>
    <w:pPr>
      <w:numPr>
        <w:numId w:val="0"/>
      </w:numPr>
      <w:tabs>
        <w:tab w:val="right" w:leader="dot" w:pos="6521"/>
      </w:tabs>
      <w:spacing w:before="0" w:after="0"/>
    </w:pPr>
  </w:style>
  <w:style w:type="paragraph" w:customStyle="1" w:styleId="TOFTitle">
    <w:name w:val="TOFTitle"/>
    <w:basedOn w:val="TOCTitle"/>
    <w:rsid w:val="00C22E4D"/>
  </w:style>
  <w:style w:type="paragraph" w:styleId="TableofFigures">
    <w:name w:val="table of figures"/>
    <w:basedOn w:val="Normal"/>
    <w:next w:val="Normal"/>
    <w:semiHidden/>
    <w:rsid w:val="00C22E4D"/>
    <w:pPr>
      <w:tabs>
        <w:tab w:val="right" w:leader="dot" w:pos="9072"/>
      </w:tabs>
      <w:ind w:left="970" w:hanging="403"/>
    </w:pPr>
    <w:rPr>
      <w:rFonts w:ascii="Times New Roman" w:hAnsi="Times New Roman"/>
      <w:b/>
    </w:rPr>
  </w:style>
  <w:style w:type="paragraph" w:styleId="ListNumber">
    <w:name w:val="List Number"/>
    <w:basedOn w:val="List"/>
    <w:rsid w:val="00C22E4D"/>
    <w:pPr>
      <w:numPr>
        <w:numId w:val="15"/>
      </w:numPr>
      <w:tabs>
        <w:tab w:val="clear" w:pos="340"/>
      </w:tabs>
    </w:pPr>
  </w:style>
  <w:style w:type="character" w:customStyle="1" w:styleId="WingdingSymbols">
    <w:name w:val="Wingding Symbols"/>
    <w:rsid w:val="00C22E4D"/>
    <w:rPr>
      <w:rFonts w:ascii="Wingdings" w:hAnsi="Wingdings"/>
    </w:rPr>
  </w:style>
  <w:style w:type="paragraph" w:customStyle="1" w:styleId="TableHeading">
    <w:name w:val="Table Heading"/>
    <w:basedOn w:val="HeadingBase"/>
    <w:rsid w:val="00C22E4D"/>
    <w:pPr>
      <w:keepLines/>
      <w:pBdr>
        <w:bottom w:val="single" w:sz="6" w:space="1" w:color="918585"/>
      </w:pBdr>
      <w:spacing w:before="240"/>
    </w:pPr>
  </w:style>
  <w:style w:type="character" w:customStyle="1" w:styleId="HotSpot">
    <w:name w:val="HotSpot"/>
    <w:rsid w:val="00C22E4D"/>
    <w:rPr>
      <w:color w:val="0033CC"/>
      <w:u w:val="none"/>
    </w:rPr>
  </w:style>
  <w:style w:type="paragraph" w:customStyle="1" w:styleId="BodyTextRight">
    <w:name w:val="Body Text Right"/>
    <w:basedOn w:val="BodyText"/>
    <w:rsid w:val="00C22E4D"/>
    <w:pPr>
      <w:spacing w:before="0" w:after="0"/>
      <w:jc w:val="right"/>
    </w:pPr>
  </w:style>
  <w:style w:type="paragraph" w:styleId="Index3">
    <w:name w:val="index 3"/>
    <w:basedOn w:val="ListNumber2"/>
    <w:next w:val="Normal"/>
    <w:semiHidden/>
    <w:rsid w:val="00C22E4D"/>
    <w:pPr>
      <w:numPr>
        <w:numId w:val="0"/>
      </w:numPr>
      <w:tabs>
        <w:tab w:val="right" w:leader="dot" w:pos="4176"/>
      </w:tabs>
    </w:pPr>
  </w:style>
  <w:style w:type="paragraph" w:styleId="ListNumber2">
    <w:name w:val="List Number 2"/>
    <w:basedOn w:val="List2"/>
    <w:rsid w:val="00C22E4D"/>
    <w:pPr>
      <w:numPr>
        <w:numId w:val="10"/>
      </w:numPr>
      <w:tabs>
        <w:tab w:val="clear" w:pos="1060"/>
      </w:tabs>
    </w:pPr>
  </w:style>
  <w:style w:type="paragraph" w:customStyle="1" w:styleId="MarginNote">
    <w:name w:val="Margin Note"/>
    <w:basedOn w:val="BodyText"/>
    <w:rsid w:val="00C22E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E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E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E4D"/>
    <w:rPr>
      <w:sz w:val="32"/>
    </w:rPr>
  </w:style>
  <w:style w:type="paragraph" w:customStyle="1" w:styleId="HeadingProcedure">
    <w:name w:val="Heading Procedure"/>
    <w:basedOn w:val="HeadingBase"/>
    <w:next w:val="Normal"/>
    <w:rsid w:val="00C22E4D"/>
    <w:pPr>
      <w:tabs>
        <w:tab w:val="left" w:pos="0"/>
      </w:tabs>
      <w:spacing w:before="120" w:after="60"/>
    </w:pPr>
    <w:rPr>
      <w:i/>
      <w:color w:val="918585"/>
      <w:sz w:val="22"/>
    </w:rPr>
  </w:style>
  <w:style w:type="paragraph" w:customStyle="1" w:styleId="TableBodyText">
    <w:name w:val="Table Body Text"/>
    <w:basedOn w:val="BodyText"/>
    <w:rsid w:val="00C22E4D"/>
    <w:pPr>
      <w:spacing w:before="60" w:after="60"/>
    </w:pPr>
  </w:style>
  <w:style w:type="paragraph" w:styleId="ListContinue">
    <w:name w:val="List Continue"/>
    <w:basedOn w:val="List"/>
    <w:rsid w:val="00C22E4D"/>
    <w:pPr>
      <w:ind w:firstLine="0"/>
    </w:pPr>
  </w:style>
  <w:style w:type="paragraph" w:customStyle="1" w:styleId="ListNote">
    <w:name w:val="List Note"/>
    <w:basedOn w:val="List"/>
    <w:rsid w:val="00C22E4D"/>
    <w:pPr>
      <w:pBdr>
        <w:top w:val="single" w:sz="6" w:space="2" w:color="918585"/>
        <w:bottom w:val="single" w:sz="6" w:space="2" w:color="918585"/>
      </w:pBdr>
      <w:tabs>
        <w:tab w:val="left" w:pos="1021"/>
      </w:tabs>
      <w:ind w:firstLine="0"/>
    </w:pPr>
  </w:style>
  <w:style w:type="paragraph" w:customStyle="1" w:styleId="Warning">
    <w:name w:val="Warning"/>
    <w:basedOn w:val="BodyText"/>
    <w:rsid w:val="00C22E4D"/>
    <w:pPr>
      <w:shd w:val="clear" w:color="auto" w:fill="D9D9D9"/>
      <w:tabs>
        <w:tab w:val="left" w:pos="992"/>
      </w:tabs>
      <w:ind w:left="119" w:right="119"/>
    </w:pPr>
    <w:rPr>
      <w:sz w:val="20"/>
    </w:rPr>
  </w:style>
  <w:style w:type="paragraph" w:customStyle="1" w:styleId="MarginIcons">
    <w:name w:val="Margin Icons"/>
    <w:basedOn w:val="BodyText"/>
    <w:rsid w:val="00C22E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E4D"/>
    <w:rPr>
      <w:rFonts w:ascii="Courier New" w:hAnsi="Courier New"/>
    </w:rPr>
  </w:style>
  <w:style w:type="paragraph" w:customStyle="1" w:styleId="NoteBullet">
    <w:name w:val="Note Bullet"/>
    <w:basedOn w:val="Note"/>
    <w:rsid w:val="00C22E4D"/>
    <w:pPr>
      <w:tabs>
        <w:tab w:val="clear" w:pos="680"/>
      </w:tabs>
      <w:spacing w:before="60" w:after="60"/>
    </w:pPr>
  </w:style>
  <w:style w:type="paragraph" w:customStyle="1" w:styleId="SubHeading2">
    <w:name w:val="SubHeading2"/>
    <w:basedOn w:val="HeadingBase"/>
    <w:rsid w:val="00C22E4D"/>
    <w:pPr>
      <w:spacing w:before="240" w:after="60"/>
    </w:pPr>
    <w:rPr>
      <w:sz w:val="20"/>
    </w:rPr>
  </w:style>
  <w:style w:type="paragraph" w:customStyle="1" w:styleId="SubHeading1">
    <w:name w:val="SubHeading1"/>
    <w:basedOn w:val="HeadingBase"/>
    <w:rsid w:val="00C22E4D"/>
    <w:pPr>
      <w:spacing w:before="240" w:after="60"/>
    </w:pPr>
    <w:rPr>
      <w:color w:val="918585"/>
      <w:sz w:val="22"/>
    </w:rPr>
  </w:style>
  <w:style w:type="paragraph" w:customStyle="1" w:styleId="SideHeading">
    <w:name w:val="Side Heading"/>
    <w:basedOn w:val="HeadingBase"/>
    <w:rsid w:val="00C22E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E4D"/>
    <w:pPr>
      <w:tabs>
        <w:tab w:val="num" w:pos="360"/>
      </w:tabs>
    </w:pPr>
  </w:style>
  <w:style w:type="paragraph" w:styleId="PlainText">
    <w:name w:val="Plain Text"/>
    <w:basedOn w:val="Normal"/>
    <w:link w:val="PlainTextChar"/>
    <w:rsid w:val="00C22E4D"/>
    <w:rPr>
      <w:sz w:val="20"/>
    </w:rPr>
  </w:style>
  <w:style w:type="character" w:customStyle="1" w:styleId="PlainTextChar">
    <w:name w:val="Plain Text Char"/>
    <w:basedOn w:val="DefaultParagraphFont"/>
    <w:link w:val="PlainText"/>
    <w:rsid w:val="00C22E4D"/>
    <w:rPr>
      <w:rFonts w:ascii="Courier New" w:eastAsia="Times New Roman" w:hAnsi="Courier New" w:cs="Times New Roman"/>
      <w:sz w:val="20"/>
      <w:szCs w:val="20"/>
      <w:lang w:eastAsia="en-US"/>
    </w:rPr>
  </w:style>
  <w:style w:type="character" w:customStyle="1" w:styleId="MenuOption">
    <w:name w:val="Menu Option"/>
    <w:basedOn w:val="DefaultParagraphFont"/>
    <w:rsid w:val="00C22E4D"/>
    <w:rPr>
      <w:b/>
      <w:smallCaps/>
    </w:rPr>
  </w:style>
  <w:style w:type="paragraph" w:customStyle="1" w:styleId="TableListNumber">
    <w:name w:val="Table List Number"/>
    <w:basedOn w:val="ListNumber"/>
    <w:rsid w:val="00C22E4D"/>
    <w:pPr>
      <w:numPr>
        <w:numId w:val="0"/>
      </w:numPr>
    </w:pPr>
  </w:style>
  <w:style w:type="paragraph" w:styleId="TOC4">
    <w:name w:val="toc 4"/>
    <w:basedOn w:val="TOCBase"/>
    <w:next w:val="Normal"/>
    <w:semiHidden/>
    <w:rsid w:val="00C22E4D"/>
    <w:pPr>
      <w:tabs>
        <w:tab w:val="right" w:leader="dot" w:pos="9071"/>
      </w:tabs>
      <w:ind w:left="1701"/>
    </w:pPr>
  </w:style>
  <w:style w:type="paragraph" w:customStyle="1" w:styleId="ListAlpha">
    <w:name w:val="List Alpha"/>
    <w:basedOn w:val="List"/>
    <w:rsid w:val="00C22E4D"/>
    <w:pPr>
      <w:numPr>
        <w:numId w:val="9"/>
      </w:numPr>
    </w:pPr>
  </w:style>
  <w:style w:type="paragraph" w:customStyle="1" w:styleId="ListAlpha2">
    <w:name w:val="List Alpha 2"/>
    <w:basedOn w:val="List2"/>
    <w:rsid w:val="00C22E4D"/>
    <w:pPr>
      <w:numPr>
        <w:numId w:val="8"/>
      </w:numPr>
    </w:pPr>
  </w:style>
  <w:style w:type="paragraph" w:styleId="List2">
    <w:name w:val="List 2"/>
    <w:basedOn w:val="BodyText"/>
    <w:rsid w:val="00C22E4D"/>
    <w:pPr>
      <w:tabs>
        <w:tab w:val="left" w:pos="680"/>
      </w:tabs>
      <w:spacing w:before="60" w:after="60"/>
      <w:ind w:left="680" w:hanging="340"/>
    </w:pPr>
  </w:style>
  <w:style w:type="paragraph" w:styleId="List3">
    <w:name w:val="List 3"/>
    <w:basedOn w:val="BodyText"/>
    <w:rsid w:val="00C22E4D"/>
    <w:pPr>
      <w:tabs>
        <w:tab w:val="left" w:pos="1021"/>
      </w:tabs>
      <w:spacing w:before="60" w:after="60"/>
      <w:ind w:left="1020" w:hanging="340"/>
    </w:pPr>
  </w:style>
  <w:style w:type="paragraph" w:styleId="List4">
    <w:name w:val="List 4"/>
    <w:basedOn w:val="BodyText"/>
    <w:rsid w:val="00C22E4D"/>
    <w:pPr>
      <w:tabs>
        <w:tab w:val="left" w:pos="1361"/>
      </w:tabs>
      <w:spacing w:before="60" w:after="60"/>
      <w:ind w:left="1361" w:hanging="340"/>
    </w:pPr>
  </w:style>
  <w:style w:type="paragraph" w:styleId="List5">
    <w:name w:val="List 5"/>
    <w:basedOn w:val="BodyText"/>
    <w:rsid w:val="00C22E4D"/>
    <w:pPr>
      <w:tabs>
        <w:tab w:val="left" w:pos="1701"/>
      </w:tabs>
      <w:spacing w:before="60" w:after="60"/>
      <w:ind w:left="1701" w:hanging="340"/>
    </w:pPr>
  </w:style>
  <w:style w:type="paragraph" w:styleId="ListBullet3">
    <w:name w:val="List Bullet 3"/>
    <w:basedOn w:val="List3"/>
    <w:rsid w:val="00C22E4D"/>
    <w:pPr>
      <w:numPr>
        <w:numId w:val="14"/>
      </w:numPr>
      <w:tabs>
        <w:tab w:val="clear" w:pos="1021"/>
      </w:tabs>
      <w:ind w:left="1037" w:hanging="357"/>
    </w:pPr>
  </w:style>
  <w:style w:type="paragraph" w:styleId="ListBullet4">
    <w:name w:val="List Bullet 4"/>
    <w:basedOn w:val="List4"/>
    <w:rsid w:val="00C22E4D"/>
    <w:pPr>
      <w:numPr>
        <w:numId w:val="3"/>
      </w:numPr>
      <w:tabs>
        <w:tab w:val="clear" w:pos="1361"/>
      </w:tabs>
    </w:pPr>
  </w:style>
  <w:style w:type="paragraph" w:styleId="ListBullet5">
    <w:name w:val="List Bullet 5"/>
    <w:basedOn w:val="List5"/>
    <w:rsid w:val="00C22E4D"/>
    <w:pPr>
      <w:numPr>
        <w:numId w:val="4"/>
      </w:numPr>
    </w:pPr>
  </w:style>
  <w:style w:type="paragraph" w:styleId="ListContinue2">
    <w:name w:val="List Continue 2"/>
    <w:basedOn w:val="List2"/>
    <w:rsid w:val="00C22E4D"/>
    <w:pPr>
      <w:ind w:firstLine="0"/>
    </w:pPr>
  </w:style>
  <w:style w:type="paragraph" w:styleId="ListContinue3">
    <w:name w:val="List Continue 3"/>
    <w:basedOn w:val="List3"/>
    <w:rsid w:val="00C22E4D"/>
    <w:pPr>
      <w:ind w:left="1021" w:firstLine="0"/>
    </w:pPr>
  </w:style>
  <w:style w:type="paragraph" w:styleId="ListContinue4">
    <w:name w:val="List Continue 4"/>
    <w:basedOn w:val="List4"/>
    <w:rsid w:val="00C22E4D"/>
    <w:pPr>
      <w:ind w:firstLine="0"/>
    </w:pPr>
  </w:style>
  <w:style w:type="paragraph" w:styleId="ListContinue5">
    <w:name w:val="List Continue 5"/>
    <w:basedOn w:val="List5"/>
    <w:rsid w:val="00C22E4D"/>
    <w:pPr>
      <w:ind w:firstLine="0"/>
    </w:pPr>
  </w:style>
  <w:style w:type="paragraph" w:styleId="ListNumber3">
    <w:name w:val="List Number 3"/>
    <w:basedOn w:val="List3"/>
    <w:rsid w:val="00C22E4D"/>
    <w:pPr>
      <w:numPr>
        <w:numId w:val="5"/>
      </w:numPr>
    </w:pPr>
  </w:style>
  <w:style w:type="paragraph" w:styleId="ListNumber4">
    <w:name w:val="List Number 4"/>
    <w:basedOn w:val="List4"/>
    <w:rsid w:val="00C22E4D"/>
    <w:pPr>
      <w:numPr>
        <w:numId w:val="6"/>
      </w:numPr>
    </w:pPr>
  </w:style>
  <w:style w:type="paragraph" w:styleId="ListNumber5">
    <w:name w:val="List Number 5"/>
    <w:basedOn w:val="List5"/>
    <w:rsid w:val="00C22E4D"/>
    <w:pPr>
      <w:numPr>
        <w:numId w:val="7"/>
      </w:numPr>
    </w:pPr>
  </w:style>
  <w:style w:type="paragraph" w:styleId="BlockText">
    <w:name w:val="Block Text"/>
    <w:basedOn w:val="Normal"/>
    <w:rsid w:val="00C22E4D"/>
    <w:pPr>
      <w:spacing w:after="120"/>
      <w:ind w:left="1440" w:right="1440"/>
    </w:pPr>
  </w:style>
  <w:style w:type="character" w:customStyle="1" w:styleId="Subscript">
    <w:name w:val="Subscript"/>
    <w:basedOn w:val="DefaultParagraphFont"/>
    <w:rsid w:val="00C22E4D"/>
    <w:rPr>
      <w:sz w:val="16"/>
      <w:vertAlign w:val="subscript"/>
    </w:rPr>
  </w:style>
  <w:style w:type="character" w:customStyle="1" w:styleId="Superscript">
    <w:name w:val="Superscript"/>
    <w:basedOn w:val="DefaultParagraphFont"/>
    <w:rsid w:val="00C22E4D"/>
    <w:rPr>
      <w:sz w:val="16"/>
      <w:vertAlign w:val="superscript"/>
    </w:rPr>
  </w:style>
  <w:style w:type="character" w:customStyle="1" w:styleId="Symbols">
    <w:name w:val="Symbols"/>
    <w:basedOn w:val="DefaultParagraphFont"/>
    <w:rsid w:val="00C22E4D"/>
    <w:rPr>
      <w:rFonts w:ascii="Symbol" w:hAnsi="Symbol"/>
    </w:rPr>
  </w:style>
  <w:style w:type="character" w:customStyle="1" w:styleId="MenuOptions">
    <w:name w:val="Menu Options"/>
    <w:basedOn w:val="DefaultParagraphFont"/>
    <w:rsid w:val="00C22E4D"/>
    <w:rPr>
      <w:rFonts w:ascii="Arial Narrow" w:hAnsi="Arial Narrow"/>
      <w:smallCaps/>
    </w:rPr>
  </w:style>
  <w:style w:type="character" w:customStyle="1" w:styleId="Buttons">
    <w:name w:val="Buttons"/>
    <w:basedOn w:val="DefaultParagraphFont"/>
    <w:rsid w:val="00C22E4D"/>
    <w:rPr>
      <w:b/>
    </w:rPr>
  </w:style>
  <w:style w:type="character" w:customStyle="1" w:styleId="Underlined">
    <w:name w:val="Underlined"/>
    <w:basedOn w:val="DefaultParagraphFont"/>
    <w:rsid w:val="00C22E4D"/>
    <w:rPr>
      <w:u w:val="single"/>
    </w:rPr>
  </w:style>
  <w:style w:type="paragraph" w:customStyle="1" w:styleId="TableBodyTextRight">
    <w:name w:val="Table Body Text Right"/>
    <w:basedOn w:val="TableBodyText"/>
    <w:rsid w:val="00C22E4D"/>
    <w:pPr>
      <w:widowControl w:val="0"/>
      <w:autoSpaceDE w:val="0"/>
      <w:autoSpaceDN w:val="0"/>
      <w:adjustRightInd w:val="0"/>
      <w:jc w:val="right"/>
    </w:pPr>
    <w:rPr>
      <w:rFonts w:cs="Arial"/>
      <w:szCs w:val="18"/>
    </w:rPr>
  </w:style>
  <w:style w:type="paragraph" w:customStyle="1" w:styleId="CopyrightText">
    <w:name w:val="Copyright Text"/>
    <w:basedOn w:val="BodyText"/>
    <w:rsid w:val="00C22E4D"/>
    <w:rPr>
      <w:sz w:val="18"/>
    </w:rPr>
  </w:style>
  <w:style w:type="paragraph" w:customStyle="1" w:styleId="BodySmallRight">
    <w:name w:val="Body Small Right"/>
    <w:basedOn w:val="BodyTextRight"/>
    <w:rsid w:val="00C22E4D"/>
    <w:rPr>
      <w:sz w:val="18"/>
      <w:szCs w:val="18"/>
    </w:rPr>
  </w:style>
  <w:style w:type="paragraph" w:customStyle="1" w:styleId="MarginEdition">
    <w:name w:val="Margin Edition"/>
    <w:basedOn w:val="MarginNote"/>
    <w:rsid w:val="00C22E4D"/>
    <w:pPr>
      <w:spacing w:before="0" w:after="0"/>
    </w:pPr>
    <w:rPr>
      <w:rFonts w:ascii="Times New Roman" w:hAnsi="Times New Roman"/>
      <w:color w:val="999999"/>
    </w:rPr>
  </w:style>
  <w:style w:type="paragraph" w:customStyle="1" w:styleId="Spacer">
    <w:name w:val="Spacer"/>
    <w:basedOn w:val="Normal"/>
    <w:rsid w:val="00C22E4D"/>
    <w:rPr>
      <w:sz w:val="2"/>
      <w:szCs w:val="2"/>
    </w:rPr>
  </w:style>
  <w:style w:type="character" w:customStyle="1" w:styleId="Small">
    <w:name w:val="Small"/>
    <w:basedOn w:val="DefaultParagraphFont"/>
    <w:rsid w:val="00C22E4D"/>
    <w:rPr>
      <w:sz w:val="16"/>
    </w:rPr>
  </w:style>
  <w:style w:type="paragraph" w:customStyle="1" w:styleId="WideTable">
    <w:name w:val="Wide Table"/>
    <w:basedOn w:val="Normal"/>
    <w:rsid w:val="00C22E4D"/>
    <w:pPr>
      <w:ind w:left="-1418"/>
    </w:pPr>
    <w:rPr>
      <w:sz w:val="2"/>
      <w:szCs w:val="2"/>
    </w:rPr>
  </w:style>
  <w:style w:type="character" w:styleId="PageNumber">
    <w:name w:val="page number"/>
    <w:basedOn w:val="DefaultParagraphFont"/>
    <w:rsid w:val="00C22E4D"/>
  </w:style>
  <w:style w:type="paragraph" w:styleId="Quote">
    <w:name w:val="Quote"/>
    <w:basedOn w:val="Heading1"/>
    <w:link w:val="QuoteChar"/>
    <w:qFormat/>
    <w:rsid w:val="00C22E4D"/>
    <w:rPr>
      <w:b w:val="0"/>
      <w:sz w:val="72"/>
      <w:szCs w:val="72"/>
      <w:lang w:val="en-NZ"/>
    </w:rPr>
  </w:style>
  <w:style w:type="character" w:customStyle="1" w:styleId="QuoteChar">
    <w:name w:val="Quote Char"/>
    <w:basedOn w:val="DefaultParagraphFont"/>
    <w:link w:val="Quote"/>
    <w:rsid w:val="00C22E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E4D"/>
    <w:pPr>
      <w:pageBreakBefore/>
    </w:pPr>
  </w:style>
  <w:style w:type="paragraph" w:customStyle="1" w:styleId="Border">
    <w:name w:val="Border"/>
    <w:basedOn w:val="Normal"/>
    <w:qFormat/>
    <w:rsid w:val="00C22E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E4D"/>
    <w:rPr>
      <w:b/>
      <w:bCs/>
      <w:i/>
      <w:iCs/>
      <w:color w:val="auto"/>
    </w:rPr>
  </w:style>
  <w:style w:type="paragraph" w:styleId="IntenseQuote">
    <w:name w:val="Intense Quote"/>
    <w:basedOn w:val="Normal"/>
    <w:next w:val="Normal"/>
    <w:link w:val="IntenseQuoteChar"/>
    <w:uiPriority w:val="30"/>
    <w:qFormat/>
    <w:rsid w:val="00C22E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E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E4D"/>
    <w:rPr>
      <w:smallCaps/>
      <w:color w:val="auto"/>
      <w:u w:val="single"/>
    </w:rPr>
  </w:style>
  <w:style w:type="character" w:styleId="IntenseReference">
    <w:name w:val="Intense Reference"/>
    <w:basedOn w:val="DefaultParagraphFont"/>
    <w:uiPriority w:val="32"/>
    <w:qFormat/>
    <w:rsid w:val="00C22E4D"/>
    <w:rPr>
      <w:b/>
      <w:bCs/>
      <w:smallCaps/>
      <w:color w:val="auto"/>
      <w:spacing w:val="5"/>
      <w:u w:val="single"/>
    </w:rPr>
  </w:style>
  <w:style w:type="paragraph" w:customStyle="1" w:styleId="2ColumnHeading">
    <w:name w:val="2Column Heading"/>
    <w:basedOn w:val="BodyText"/>
    <w:qFormat/>
    <w:rsid w:val="00C22E4D"/>
    <w:pPr>
      <w:spacing w:after="60"/>
      <w:ind w:left="-2268"/>
    </w:pPr>
    <w:rPr>
      <w:b/>
    </w:rPr>
  </w:style>
  <w:style w:type="paragraph" w:customStyle="1" w:styleId="Heading1TOC">
    <w:name w:val="Heading1 TOC"/>
    <w:basedOn w:val="Normal"/>
    <w:qFormat/>
    <w:rsid w:val="00C22E4D"/>
    <w:pPr>
      <w:spacing w:before="240" w:after="120"/>
    </w:pPr>
    <w:rPr>
      <w:rFonts w:ascii="Times New Roman" w:hAnsi="Times New Roman"/>
      <w:b/>
      <w:sz w:val="32"/>
    </w:rPr>
  </w:style>
  <w:style w:type="paragraph" w:customStyle="1" w:styleId="Heading2TOC">
    <w:name w:val="Heading2 TOC"/>
    <w:basedOn w:val="Normal"/>
    <w:qFormat/>
    <w:rsid w:val="00C22E4D"/>
    <w:pPr>
      <w:spacing w:before="240" w:after="60"/>
    </w:pPr>
    <w:rPr>
      <w:rFonts w:ascii="Times New Roman" w:hAnsi="Times New Roman"/>
      <w:b/>
      <w:sz w:val="28"/>
    </w:rPr>
  </w:style>
  <w:style w:type="character" w:customStyle="1" w:styleId="Underline">
    <w:name w:val="Underline"/>
    <w:basedOn w:val="DefaultParagraphFont"/>
    <w:qFormat/>
    <w:rsid w:val="00C22E4D"/>
    <w:rPr>
      <w:u w:val="single"/>
    </w:rPr>
  </w:style>
  <w:style w:type="character" w:customStyle="1" w:styleId="BoldandItalics">
    <w:name w:val="Bold and Italics"/>
    <w:qFormat/>
    <w:rsid w:val="00C22E4D"/>
    <w:rPr>
      <w:b/>
      <w:i/>
      <w:u w:val="none"/>
    </w:rPr>
  </w:style>
  <w:style w:type="paragraph" w:styleId="BalloonText">
    <w:name w:val="Balloon Text"/>
    <w:basedOn w:val="Normal"/>
    <w:link w:val="BalloonTextChar"/>
    <w:rsid w:val="00C22E4D"/>
    <w:rPr>
      <w:rFonts w:ascii="Tahoma" w:hAnsi="Tahoma" w:cs="Tahoma"/>
      <w:sz w:val="16"/>
      <w:szCs w:val="16"/>
    </w:rPr>
  </w:style>
  <w:style w:type="character" w:customStyle="1" w:styleId="BalloonTextChar">
    <w:name w:val="Balloon Text Char"/>
    <w:basedOn w:val="DefaultParagraphFont"/>
    <w:link w:val="BalloonText"/>
    <w:rsid w:val="00C22E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E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E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E4D"/>
    <w:rPr>
      <w:b/>
      <w:color w:val="660033"/>
      <w:spacing w:val="0"/>
    </w:rPr>
  </w:style>
  <w:style w:type="paragraph" w:customStyle="1" w:styleId="Nameditemlist">
    <w:name w:val="Named item list"/>
    <w:basedOn w:val="BodyText"/>
    <w:qFormat/>
    <w:rsid w:val="00C22E4D"/>
    <w:pPr>
      <w:tabs>
        <w:tab w:val="left" w:pos="2835"/>
      </w:tabs>
      <w:ind w:left="2835" w:hanging="2835"/>
    </w:pPr>
  </w:style>
  <w:style w:type="paragraph" w:customStyle="1" w:styleId="BodyTextnopadding">
    <w:name w:val="Body Text no padding"/>
    <w:basedOn w:val="BodyText"/>
    <w:qFormat/>
    <w:rsid w:val="00C22E4D"/>
    <w:pPr>
      <w:spacing w:before="0" w:after="0"/>
    </w:pPr>
  </w:style>
  <w:style w:type="paragraph" w:customStyle="1" w:styleId="BodyTextBold">
    <w:name w:val="Body Text Bold"/>
    <w:basedOn w:val="BodyText"/>
    <w:qFormat/>
    <w:rsid w:val="00C22E4D"/>
    <w:rPr>
      <w:b/>
    </w:rPr>
  </w:style>
  <w:style w:type="character" w:styleId="Hyperlink">
    <w:name w:val="Hyperlink"/>
    <w:basedOn w:val="DefaultParagraphFont"/>
    <w:uiPriority w:val="99"/>
    <w:unhideWhenUsed/>
    <w:rsid w:val="00EA7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5333</Characters>
  <Application>Microsoft Office Word</Application>
  <DocSecurity>0</DocSecurity>
  <Lines>133</Lines>
  <Paragraphs>84</Paragraphs>
  <ScaleCrop>false</ScaleCrop>
  <Company>Author-it Software Corporation Ltd.</Company>
  <LinksUpToDate>false</LinksUpToDate>
  <CharactersWithSpaces>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RIIHAN308E Load and unload plant</dc:title>
  <dc:subject>Approved</dc:subject>
  <dc:creator>PwC’s Skills for Australia</dc:creator>
  <cp:keywords>Release: 1</cp:keywords>
  <dc:description>Review Date: 12 April 2008</dc:description>
  <cp:lastModifiedBy>HSD_TPCMSd.prod</cp:lastModifiedBy>
  <cp:revision>3</cp:revision>
  <dcterms:created xsi:type="dcterms:W3CDTF">2020-01-31T07:23:00Z</dcterms:created>
  <dcterms:modified xsi:type="dcterms:W3CDTF">2020-01-31T07:23:00Z</dcterms:modified>
</cp:coreProperties>
</file>