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E99" w:rsidP="00E30E99">
      <w:pPr>
        <w:pStyle w:val="Title"/>
      </w:pPr>
      <w:r>
        <w:fldChar w:fldCharType="begin"/>
      </w:r>
      <w:r>
        <w:instrText xml:space="preserve"> TITLE   \* MERGEFORMAT </w:instrText>
      </w:r>
      <w:r>
        <w:fldChar w:fldCharType="separate"/>
      </w:r>
      <w:r>
        <w:t>Assessment Requirements for RIIHAN307D Operate a vehicle loading crane</w:t>
      </w:r>
      <w:r>
        <w:fldChar w:fldCharType="end"/>
      </w:r>
    </w:p>
    <w:p w:rsidR="00E30E99" w:rsidP="00E30E99">
      <w:pPr>
        <w:pStyle w:val="Version"/>
        <w:sectPr w:rsidSect="00AB35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B3517" w:rsidP="00AB3517">
      <w:pPr>
        <w:pStyle w:val="SuperHeading"/>
      </w:pPr>
      <w:r w:rsidRPr="00AB3517">
        <w:t>Assessment Requirements for RIIHAN307D Operate a vehicle loading crane</w:t>
      </w:r>
    </w:p>
    <w:p w:rsidR="00000000" w:rsidRPr="00AB3517" w:rsidP="00AB3517">
      <w:pPr>
        <w:pStyle w:val="Heading1"/>
      </w:pPr>
      <w:bookmarkStart w:id="1" w:name="O_688506"/>
      <w:bookmarkEnd w:id="1"/>
      <w:r w:rsidRPr="00AB3517">
        <w:t>Modification History</w:t>
      </w:r>
    </w:p>
    <w:tbl>
      <w:tblPr>
        <w:tblW w:w="9390" w:type="dxa"/>
        <w:tblLayout w:type="fixed"/>
        <w:tblCellMar>
          <w:left w:w="62" w:type="dxa"/>
          <w:right w:w="62" w:type="dxa"/>
        </w:tblCellMar>
        <w:tblLook w:val="0000"/>
      </w:tblPr>
      <w:tblGrid>
        <w:gridCol w:w="1260"/>
        <w:gridCol w:w="8130"/>
      </w:tblGrid>
      <w:tr w:rsidTr="00E30E99">
        <w:tblPrEx>
          <w:tblW w:w="939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517">
            <w:pPr>
              <w:pStyle w:val="BodyText"/>
              <w:rPr>
                <w:lang w:val="en-NZ"/>
              </w:rPr>
            </w:pPr>
            <w:r w:rsidRPr="00AB3517">
              <w:t>Release</w:t>
            </w:r>
          </w:p>
        </w:tc>
        <w:tc>
          <w:tcPr>
            <w:tcW w:w="8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517">
            <w:pPr>
              <w:pStyle w:val="BodyText"/>
              <w:rPr>
                <w:lang w:val="en-NZ"/>
              </w:rPr>
            </w:pPr>
            <w:r w:rsidRPr="00AB3517">
              <w:t>Comment</w:t>
            </w:r>
          </w:p>
        </w:tc>
      </w:tr>
      <w:tr w:rsidTr="00E30E99">
        <w:tblPrEx>
          <w:tblW w:w="9390" w:type="dxa"/>
          <w:tblLayout w:type="fixed"/>
          <w:tblCellMar>
            <w:left w:w="62" w:type="dxa"/>
            <w:right w:w="62" w:type="dxa"/>
          </w:tblCellMar>
          <w:tblLook w:val="0000"/>
        </w:tblPrEx>
        <w:trPr>
          <w:trHeight w:val="496"/>
        </w:trPr>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517">
            <w:pPr>
              <w:pStyle w:val="BodyText"/>
              <w:rPr>
                <w:lang w:val="en-NZ"/>
              </w:rPr>
            </w:pPr>
            <w:r w:rsidRPr="00AB3517">
              <w:t>1</w:t>
            </w:r>
          </w:p>
        </w:tc>
        <w:tc>
          <w:tcPr>
            <w:tcW w:w="8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517">
            <w:pPr>
              <w:pStyle w:val="BodyText"/>
              <w:rPr>
                <w:lang w:val="en-NZ"/>
              </w:rPr>
            </w:pPr>
            <w:r w:rsidRPr="00AB3517">
              <w:t>This unit replaces RIIHAN307A Operate a vehicle loading crane.</w:t>
            </w:r>
          </w:p>
        </w:tc>
      </w:tr>
      <w:tr w:rsidTr="00E30E99">
        <w:tblPrEx>
          <w:tblW w:w="939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517">
            <w:pPr>
              <w:pStyle w:val="BodyText"/>
              <w:rPr>
                <w:lang w:val="en-NZ"/>
              </w:rPr>
            </w:pPr>
            <w:r w:rsidRPr="00AB3517">
              <w:t>2</w:t>
            </w:r>
          </w:p>
        </w:tc>
        <w:tc>
          <w:tcPr>
            <w:tcW w:w="8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517" w:rsidP="00AB3517">
            <w:pPr>
              <w:pStyle w:val="BodyText"/>
            </w:pPr>
            <w:r w:rsidRPr="00AB3517">
              <w:t>Amend Performance Criteria wording to ensure compliance with WHS Legislation</w:t>
            </w:r>
          </w:p>
          <w:p w:rsidR="00000000" w:rsidP="00AB3517">
            <w:pPr>
              <w:pStyle w:val="BodyText"/>
              <w:rPr>
                <w:lang w:val="en-NZ"/>
              </w:rPr>
            </w:pPr>
            <w:r w:rsidRPr="00AB3517">
              <w:t>Amend reference to Licensing requirements in Unit Application</w:t>
            </w:r>
          </w:p>
        </w:tc>
      </w:tr>
      <w:tr w:rsidTr="00E30E99">
        <w:tblPrEx>
          <w:tblW w:w="939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517">
            <w:pPr>
              <w:pStyle w:val="BodyText"/>
              <w:rPr>
                <w:lang w:val="en-NZ"/>
              </w:rPr>
            </w:pPr>
            <w:r w:rsidRPr="00AB3517">
              <w:t>3</w:t>
            </w:r>
          </w:p>
        </w:tc>
        <w:tc>
          <w:tcPr>
            <w:tcW w:w="8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517" w:rsidP="00AB3517">
            <w:pPr>
              <w:pStyle w:val="BodyText"/>
            </w:pPr>
            <w:r w:rsidRPr="00AB3517">
              <w:t>Required frequency and volume of evidence amended in Performance evidence.</w:t>
            </w:r>
          </w:p>
          <w:p w:rsidR="00000000" w:rsidRPr="00AB3517" w:rsidP="00AB3517">
            <w:pPr>
              <w:pStyle w:val="BodyText"/>
            </w:pPr>
            <w:r w:rsidRPr="00AB3517">
              <w:t>Substantial amendments made in Assessme</w:t>
            </w:r>
            <w:r w:rsidRPr="00AB3517">
              <w:t>nt Conditions field, including: references to Industry Sectors, assessor and subject matter expert experience requirements, how assessment should be conducted and what it should confirm.</w:t>
            </w:r>
          </w:p>
        </w:tc>
      </w:tr>
    </w:tbl>
    <w:p w:rsidR="00000000" w:rsidRPr="00AB3517" w:rsidP="00AB3517">
      <w:pPr>
        <w:pStyle w:val="BodyText"/>
      </w:pPr>
    </w:p>
    <w:p w:rsidR="00000000" w:rsidRPr="00AB3517" w:rsidP="00AB3517">
      <w:pPr>
        <w:pStyle w:val="AllowPageBreak"/>
      </w:pPr>
    </w:p>
    <w:p w:rsidR="00000000" w:rsidRPr="00AB3517" w:rsidP="00AB3517">
      <w:pPr>
        <w:pStyle w:val="Heading1"/>
      </w:pPr>
      <w:bookmarkStart w:id="2" w:name="O_688505"/>
      <w:bookmarkEnd w:id="2"/>
      <w:r w:rsidRPr="00AB3517">
        <w:t>Performance Evidence</w:t>
      </w:r>
    </w:p>
    <w:p w:rsidR="00000000" w:rsidRPr="00AB3517" w:rsidP="00AB3517">
      <w:pPr>
        <w:pStyle w:val="BodyText"/>
      </w:pPr>
      <w:r w:rsidRPr="00AB3517">
        <w:t>Evidence is required to be collected that demonstrates a candidate’s competency in this unit. Evidence must be relevant to the roles within this sector’s work operations and satisfy all of the requirements of the performance criteria of this unit and inclu</w:t>
      </w:r>
      <w:r w:rsidRPr="00AB3517">
        <w:t>de evidence that the candidate:</w:t>
      </w:r>
    </w:p>
    <w:p w:rsidR="00000000" w:rsidRPr="00AB3517" w:rsidP="00AB3517">
      <w:pPr>
        <w:pStyle w:val="ListBullet"/>
      </w:pPr>
      <w:r w:rsidRPr="00AB3517">
        <w:t>locates and applies relevant documentation, policies and procedures</w:t>
      </w:r>
    </w:p>
    <w:p w:rsidR="00000000" w:rsidRPr="00AB3517" w:rsidP="00AB3517">
      <w:pPr>
        <w:pStyle w:val="ListBullet"/>
      </w:pPr>
      <w:r w:rsidRPr="00AB3517">
        <w:t>implements the requirements, procedures and techniques for the safe, effective and efficient completion of vehicle loading crane operation including:</w:t>
      </w:r>
    </w:p>
    <w:p w:rsidR="00000000" w:rsidRPr="00AB3517" w:rsidP="00AB3517">
      <w:pPr>
        <w:pStyle w:val="ListBullet2"/>
      </w:pPr>
      <w:r w:rsidRPr="00AB3517">
        <w:t>plan</w:t>
      </w:r>
      <w:r w:rsidRPr="00AB3517">
        <w:t>ning and preparing for vehicle loading crane operations</w:t>
      </w:r>
    </w:p>
    <w:p w:rsidR="00000000" w:rsidRPr="00AB3517" w:rsidP="00AB3517">
      <w:pPr>
        <w:pStyle w:val="ListBullet2"/>
      </w:pPr>
      <w:r w:rsidRPr="00AB3517">
        <w:t>performing daily and shift vehicle inspections and fault finding checks</w:t>
      </w:r>
    </w:p>
    <w:p w:rsidR="00000000" w:rsidRPr="00AB3517" w:rsidP="00AB3517">
      <w:pPr>
        <w:pStyle w:val="ListBullet2"/>
      </w:pPr>
      <w:r w:rsidRPr="00AB3517">
        <w:t>identifying and establishing no-go zones in the vicinity of vehicle loading cranes</w:t>
      </w:r>
    </w:p>
    <w:p w:rsidR="00000000" w:rsidRPr="00AB3517" w:rsidP="00AB3517">
      <w:pPr>
        <w:pStyle w:val="ListBullet2"/>
      </w:pPr>
      <w:r w:rsidRPr="00AB3517">
        <w:t>selecting and using relevant tools and equipm</w:t>
      </w:r>
      <w:r w:rsidRPr="00AB3517">
        <w:t>ent</w:t>
      </w:r>
    </w:p>
    <w:p w:rsidR="00000000" w:rsidRPr="00AB3517" w:rsidP="00AB3517">
      <w:pPr>
        <w:pStyle w:val="ListBullet"/>
      </w:pPr>
      <w:r w:rsidRPr="00AB3517">
        <w:t>works effectively with others to undertake and complete the operation of a vehicle loading crane that meets all of the required outcomes including:</w:t>
      </w:r>
    </w:p>
    <w:p w:rsidR="00000000" w:rsidRPr="00AB3517" w:rsidP="00AB3517">
      <w:pPr>
        <w:pStyle w:val="ListBullet2"/>
      </w:pPr>
      <w:r w:rsidRPr="00AB3517">
        <w:t>using a range of communication techniques and equipment to convey information to others</w:t>
      </w:r>
    </w:p>
    <w:p w:rsidR="00000000" w:rsidRPr="00AB3517" w:rsidP="00AB3517">
      <w:pPr>
        <w:pStyle w:val="ListBullet2"/>
      </w:pPr>
      <w:r w:rsidRPr="00AB3517">
        <w:t>complying with</w:t>
      </w:r>
      <w:r w:rsidRPr="00AB3517">
        <w:t xml:space="preserve"> written and verbal reporting requirements and procedures</w:t>
      </w:r>
    </w:p>
    <w:p w:rsidR="00000000" w:rsidRPr="00AB3517" w:rsidP="00AB3517">
      <w:pPr>
        <w:pStyle w:val="ListBullet"/>
      </w:pPr>
      <w:r w:rsidRPr="00AB3517">
        <w:t>demonstrates completion of operating a vehicle loading crane that safely, effectively and efficiently meets all of the required outcomes on more than one (1) occasion including:</w:t>
      </w:r>
    </w:p>
    <w:p w:rsidR="00000000" w:rsidRPr="00AB3517" w:rsidP="00AB3517">
      <w:pPr>
        <w:pStyle w:val="ListBullet2"/>
      </w:pPr>
      <w:r w:rsidRPr="00AB3517">
        <w:t>performing pre-start, start-up, park-up, shutdown and vehicle positioning procedures</w:t>
      </w:r>
    </w:p>
    <w:p w:rsidR="00000000" w:rsidRPr="00AB3517" w:rsidP="00AB3517">
      <w:pPr>
        <w:pStyle w:val="ListBullet2"/>
      </w:pPr>
      <w:r w:rsidRPr="00AB3517">
        <w:t>lifting and positioning loads or personnel using crane controls and function</w:t>
      </w:r>
    </w:p>
    <w:p w:rsidR="00000000" w:rsidRPr="00AB3517" w:rsidP="00AB3517">
      <w:pPr>
        <w:pStyle w:val="ListBullet2"/>
      </w:pPr>
      <w:r w:rsidRPr="00AB3517">
        <w:t>directing crane operations using load moving signals</w:t>
      </w:r>
    </w:p>
    <w:p w:rsidR="00000000" w:rsidRPr="00AB3517" w:rsidP="00AB3517">
      <w:pPr>
        <w:pStyle w:val="ListBullet2"/>
      </w:pPr>
      <w:r w:rsidRPr="00AB3517">
        <w:t xml:space="preserve">monitoring load and crane hook movements </w:t>
      </w:r>
      <w:r w:rsidRPr="00AB3517">
        <w:t>and locations</w:t>
      </w:r>
    </w:p>
    <w:p w:rsidR="00000000" w:rsidRPr="00AB3517" w:rsidP="00AB3517">
      <w:pPr>
        <w:pStyle w:val="ListBullet2"/>
      </w:pPr>
      <w:r w:rsidRPr="00AB3517">
        <w:t>disposing of environmentally sensitive fluids and materials</w:t>
      </w:r>
    </w:p>
    <w:p w:rsidR="00000000" w:rsidRPr="00AB3517" w:rsidP="00AB3517">
      <w:pPr>
        <w:pStyle w:val="AllowPageBreak"/>
      </w:pPr>
    </w:p>
    <w:p w:rsidR="00000000" w:rsidRPr="00AB3517" w:rsidP="00AB3517">
      <w:pPr>
        <w:pStyle w:val="Heading1"/>
      </w:pPr>
      <w:bookmarkStart w:id="3" w:name="O_688504"/>
      <w:bookmarkEnd w:id="3"/>
      <w:r w:rsidRPr="00AB3517">
        <w:t>Knowledge Evidence</w:t>
      </w:r>
    </w:p>
    <w:p w:rsidR="00000000" w:rsidRPr="00AB3517" w:rsidP="00AB3517">
      <w:pPr>
        <w:pStyle w:val="BodyText"/>
      </w:pPr>
      <w:r w:rsidRPr="00AB3517">
        <w:t>The candidate must demonstrate knowledge of the following when operating a vehicle loading crane:</w:t>
      </w:r>
    </w:p>
    <w:p w:rsidR="00000000" w:rsidRPr="00AB3517" w:rsidP="00AB3517">
      <w:pPr>
        <w:pStyle w:val="ListBullet"/>
      </w:pPr>
      <w:r w:rsidRPr="00AB3517">
        <w:t xml:space="preserve">no-go areas in the vicinity of vehicle loading </w:t>
      </w:r>
      <w:r w:rsidRPr="00AB3517">
        <w:t>cranes</w:t>
      </w:r>
    </w:p>
    <w:p w:rsidR="00000000" w:rsidRPr="00AB3517" w:rsidP="00AB3517">
      <w:pPr>
        <w:pStyle w:val="ListBullet"/>
      </w:pPr>
      <w:r w:rsidRPr="00AB3517">
        <w:t>never work under crane booms</w:t>
      </w:r>
    </w:p>
    <w:p w:rsidR="00000000" w:rsidRPr="00AB3517" w:rsidP="00AB3517">
      <w:pPr>
        <w:pStyle w:val="ListBullet"/>
      </w:pPr>
      <w:r w:rsidRPr="00AB3517">
        <w:t>crane hook location and movement</w:t>
      </w:r>
    </w:p>
    <w:p w:rsidR="00000000" w:rsidRPr="00AB3517" w:rsidP="00AB3517">
      <w:pPr>
        <w:pStyle w:val="ListBullet"/>
      </w:pPr>
      <w:r w:rsidRPr="00AB3517">
        <w:t>Relevant standards related to loading cranes and lifting</w:t>
      </w:r>
    </w:p>
    <w:p w:rsidR="00000000" w:rsidRPr="00AB3517" w:rsidP="00AB3517">
      <w:pPr>
        <w:pStyle w:val="ListBullet"/>
      </w:pPr>
      <w:r w:rsidRPr="00AB3517">
        <w:t>site and equipment safety requirements</w:t>
      </w:r>
    </w:p>
    <w:p w:rsidR="00000000" w:rsidRPr="00AB3517" w:rsidP="00AB3517">
      <w:pPr>
        <w:pStyle w:val="ListBullet"/>
      </w:pPr>
      <w:r w:rsidRPr="00AB3517">
        <w:t>vehicle equipment characteristics, technical capabilities and limitations associated with loading cranes</w:t>
      </w:r>
    </w:p>
    <w:p w:rsidR="00000000" w:rsidRPr="00AB3517" w:rsidP="00AB3517">
      <w:pPr>
        <w:pStyle w:val="ListBullet"/>
      </w:pPr>
      <w:r w:rsidRPr="00AB3517">
        <w:t>vehicle loading crane and other relevant operational procedures</w:t>
      </w:r>
    </w:p>
    <w:p w:rsidR="00000000" w:rsidRPr="00AB3517" w:rsidP="00AB3517">
      <w:pPr>
        <w:pStyle w:val="ListBullet"/>
      </w:pPr>
      <w:r w:rsidRPr="00AB3517">
        <w:t>vehicle loading crane and other relevant maintenance systems and procedures</w:t>
      </w:r>
    </w:p>
    <w:p w:rsidR="00000000" w:rsidRPr="00AB3517" w:rsidP="00AB3517">
      <w:pPr>
        <w:pStyle w:val="ListBullet"/>
      </w:pPr>
      <w:r w:rsidRPr="00AB3517">
        <w:t>basic geolo</w:t>
      </w:r>
      <w:r w:rsidRPr="00AB3517">
        <w:t>gical and survey data knowledge relating to loading cranes</w:t>
      </w:r>
    </w:p>
    <w:p w:rsidR="00000000" w:rsidRPr="00AB3517" w:rsidP="00AB3517">
      <w:pPr>
        <w:pStyle w:val="ListBullet"/>
      </w:pPr>
      <w:r w:rsidRPr="00AB3517">
        <w:t>basic rigging and slinging requirements</w:t>
      </w:r>
    </w:p>
    <w:p w:rsidR="00000000" w:rsidRPr="00AB3517" w:rsidP="00AB3517">
      <w:pPr>
        <w:pStyle w:val="ListBullet"/>
      </w:pPr>
      <w:r w:rsidRPr="00AB3517">
        <w:t>hand and whistle signals related to loading crane operations</w:t>
      </w:r>
    </w:p>
    <w:p w:rsidR="00000000" w:rsidRPr="00AB3517" w:rsidP="00AB3517">
      <w:pPr>
        <w:pStyle w:val="ListBullet"/>
      </w:pPr>
      <w:r w:rsidRPr="00AB3517">
        <w:t xml:space="preserve">site environmental requirements and constraints </w:t>
      </w:r>
    </w:p>
    <w:p w:rsidR="00000000" w:rsidRPr="00AB3517" w:rsidP="00AB3517">
      <w:pPr>
        <w:pStyle w:val="ListBullet"/>
      </w:pPr>
      <w:r w:rsidRPr="00AB3517">
        <w:t>Hazchem relevant to loading cranes</w:t>
      </w:r>
    </w:p>
    <w:p w:rsidR="00000000" w:rsidRPr="00AB3517" w:rsidP="00AB3517">
      <w:pPr>
        <w:pStyle w:val="ListBullet"/>
      </w:pPr>
      <w:r w:rsidRPr="00AB3517">
        <w:t>crane prepar</w:t>
      </w:r>
      <w:r w:rsidRPr="00AB3517">
        <w:t>ation and operational techniques</w:t>
      </w:r>
    </w:p>
    <w:p w:rsidR="00000000" w:rsidRPr="00AB3517" w:rsidP="00AB3517">
      <w:pPr>
        <w:pStyle w:val="ListBullet"/>
      </w:pPr>
      <w:r w:rsidRPr="00AB3517">
        <w:t>processes for the calculation of load mass requirements</w:t>
      </w:r>
    </w:p>
    <w:p w:rsidR="00000000" w:rsidRPr="00AB3517" w:rsidP="00AB3517">
      <w:pPr>
        <w:pStyle w:val="ListBullet"/>
      </w:pPr>
      <w:r w:rsidRPr="00AB3517">
        <w:t>safety data sheet</w:t>
      </w:r>
    </w:p>
    <w:p w:rsidR="00000000" w:rsidRPr="00AB3517" w:rsidP="00AB3517">
      <w:pPr>
        <w:pStyle w:val="ListBullet"/>
      </w:pPr>
      <w:r w:rsidRPr="00AB3517">
        <w:t>plans, drawings and specifications</w:t>
      </w:r>
    </w:p>
    <w:p w:rsidR="00000000" w:rsidRPr="00AB3517" w:rsidP="00AB3517">
      <w:pPr>
        <w:pStyle w:val="ListBullet"/>
      </w:pPr>
      <w:r w:rsidRPr="00AB3517">
        <w:t>safe handling and storage procedures</w:t>
      </w:r>
    </w:p>
    <w:p w:rsidR="00000000" w:rsidRPr="00AB3517" w:rsidP="00AB3517">
      <w:pPr>
        <w:pStyle w:val="ListBullet"/>
      </w:pPr>
      <w:r w:rsidRPr="00AB3517">
        <w:t>relevant acts, regulations and code of practice</w:t>
      </w:r>
    </w:p>
    <w:p w:rsidR="00000000" w:rsidRPr="00AB3517" w:rsidP="00AB3517">
      <w:pPr>
        <w:pStyle w:val="ListBullet"/>
      </w:pPr>
      <w:r w:rsidRPr="00AB3517">
        <w:t>JSAs/safe work method stateme</w:t>
      </w:r>
      <w:r w:rsidRPr="00AB3517">
        <w:t>nts</w:t>
      </w:r>
    </w:p>
    <w:p w:rsidR="00000000" w:rsidRPr="00AB3517" w:rsidP="00AB3517">
      <w:pPr>
        <w:pStyle w:val="AllowPageBreak"/>
      </w:pPr>
    </w:p>
    <w:p w:rsidR="00000000" w:rsidRPr="00AB3517" w:rsidP="00AB3517">
      <w:pPr>
        <w:pStyle w:val="Heading1"/>
      </w:pPr>
      <w:bookmarkStart w:id="4" w:name="O_688503"/>
      <w:bookmarkEnd w:id="4"/>
      <w:r w:rsidRPr="00AB3517">
        <w:t>Assessment Conditions</w:t>
      </w:r>
    </w:p>
    <w:p w:rsidR="00000000" w:rsidRPr="00AB3517" w:rsidP="00AB3517">
      <w:pPr>
        <w:pStyle w:val="ListBullet"/>
      </w:pPr>
      <w:r w:rsidRPr="00AB3517">
        <w:t xml:space="preserve">An assessor of this unit must satisfy the requirements of the NVR/AQTF or their successors; and Industry regulations for certification and licensing; and, </w:t>
      </w:r>
    </w:p>
    <w:p w:rsidR="00000000" w:rsidRPr="00AB3517" w:rsidP="00AB3517">
      <w:pPr>
        <w:pStyle w:val="ListBullet"/>
      </w:pPr>
      <w:r w:rsidRPr="00AB3517">
        <w:t>this unit is best assessed in the context of this sector</w:t>
      </w:r>
      <w:r w:rsidRPr="00AB3517">
        <w:t>’s work environment;</w:t>
      </w:r>
    </w:p>
    <w:p w:rsidR="00000000" w:rsidRPr="00AB3517" w:rsidP="00AB3517">
      <w:pPr>
        <w:pStyle w:val="ListBullet"/>
      </w:pPr>
      <w:r w:rsidRPr="00AB3517">
        <w:t>where personal safety or environmental damage are limiting factors, assessment may occur in a simulated environment provided it is realistic and sufficiently rigorous to cover all aspects of this sector’s workplace performance, includi</w:t>
      </w:r>
      <w:r w:rsidRPr="00AB3517">
        <w:t>ng environment, task skills, task management skills, contingency management skills and job role environment skills; and,</w:t>
      </w:r>
    </w:p>
    <w:p w:rsidR="00000000" w:rsidRPr="00AB3517" w:rsidP="00AB3517">
      <w:pPr>
        <w:pStyle w:val="ListBullet"/>
      </w:pPr>
      <w:r w:rsidRPr="00AB3517">
        <w:t>this unit must be assessed in compliance with relevant legislation/regulation and using policies, procedures, processes and operational</w:t>
      </w:r>
      <w:r w:rsidRPr="00AB3517">
        <w:t xml:space="preserve"> manuals directly related to the industry sector for which it is being assessed; and,</w:t>
      </w:r>
    </w:p>
    <w:p w:rsidR="00000000" w:rsidRPr="00AB3517" w:rsidP="00AB3517">
      <w:pPr>
        <w:pStyle w:val="ListBullet"/>
      </w:pPr>
      <w:r w:rsidRPr="00AB3517">
        <w:t>assessment may be conducted in conjunction with the assessment of other Units of Competency; and,</w:t>
      </w:r>
    </w:p>
    <w:p w:rsidR="00000000" w:rsidRPr="00AB3517" w:rsidP="00AB3517">
      <w:pPr>
        <w:pStyle w:val="ListBullet"/>
      </w:pPr>
      <w:r w:rsidRPr="00AB3517">
        <w:t>assessment must confirm consistent performance can be applied in a range of relevant workplace circumstances; and,</w:t>
      </w:r>
    </w:p>
    <w:p w:rsidR="00000000" w:rsidRPr="00AB3517" w:rsidP="00AB3517">
      <w:pPr>
        <w:pStyle w:val="ListBullet"/>
      </w:pPr>
      <w:r w:rsidRPr="00AB3517">
        <w:t>assessors must demonstrate the performance evidence, and knowledge evidence as outlined in this Unit of Competency, and through the minimum y</w:t>
      </w:r>
      <w:r w:rsidRPr="00AB3517">
        <w:t>ears of current* work experience specified below in an Industry sector relevant to the outcomes of the unit; or,</w:t>
      </w:r>
    </w:p>
    <w:p w:rsidR="00000000" w:rsidRPr="00AB3517" w:rsidP="00AB3517">
      <w:pPr>
        <w:pStyle w:val="ListBullet"/>
      </w:pPr>
      <w:r w:rsidRPr="00AB3517">
        <w:t>where the assessor does not meet experience requirements a co-assessment or partnership arrangement must exist between the qualified assessor a</w:t>
      </w:r>
      <w:r w:rsidRPr="00AB3517">
        <w:t>nd an Industry subject matter expert. The Industry subject matter expert should hold the unit being assessed (or an equivalent unit) and/or demonstrate equivalence of skills and knowledge at the unit level. An Industry technical expert must also demonstrat</w:t>
      </w:r>
      <w:r w:rsidRPr="00AB3517">
        <w:t>e skills and knowledge from the minimum years of current work experience specified below in the Industry sector, including time spent in roles related to the unit being assessed; and,</w:t>
      </w:r>
    </w:p>
    <w:p w:rsidR="00000000" w:rsidRPr="00AB3517" w:rsidP="00AB3517">
      <w:pPr>
        <w:pStyle w:val="ListBullet"/>
      </w:pPr>
      <w:r w:rsidRPr="00AB3517">
        <w:t>assessor and Industry subject matter expert requirements differ dependin</w:t>
      </w:r>
      <w:r w:rsidRPr="00AB3517">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B35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Required assessor or Industry subject matter expert experience</w:t>
            </w:r>
          </w:p>
        </w:tc>
      </w:tr>
      <w:tr w:rsidTr="00AB351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Drilling, Metalliferous Mining, Coal</w:t>
            </w:r>
            <w:r w:rsidRPr="00AB3517">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1 Year</w:t>
            </w:r>
          </w:p>
        </w:tc>
      </w:tr>
      <w:tr w:rsidTr="00AB351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2 Years</w:t>
            </w:r>
          </w:p>
        </w:tc>
      </w:tr>
      <w:tr w:rsidTr="00AB35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3 Years</w:t>
            </w:r>
          </w:p>
        </w:tc>
      </w:tr>
      <w:tr w:rsidTr="00AB35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5 Years</w:t>
            </w:r>
          </w:p>
        </w:tc>
      </w:tr>
      <w:tr w:rsidTr="00AB35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3517">
            <w:pPr>
              <w:pStyle w:val="BodyText"/>
              <w:rPr>
                <w:lang w:val="en-NZ"/>
              </w:rPr>
            </w:pPr>
            <w:r w:rsidRPr="00AB351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3517" w:rsidP="00AB3517">
            <w:pPr>
              <w:pStyle w:val="BodyText"/>
            </w:pPr>
            <w:r w:rsidRPr="00AB3517">
              <w:t>Where this Unit is being assessed outside of the Resources and Infrastructure Sectors assessor and/or Industry subject matter expert experience should be in-line with industry standards for the sector in which it is being assessed and where no Industry sta</w:t>
            </w:r>
            <w:r w:rsidRPr="00AB3517">
              <w:t>ndard is specified should comply with any relevant regulation.</w:t>
            </w:r>
          </w:p>
        </w:tc>
      </w:tr>
    </w:tbl>
    <w:p w:rsidR="00000000" w:rsidRPr="00AB3517" w:rsidP="00AB3517">
      <w:pPr>
        <w:pStyle w:val="BodyText"/>
      </w:pPr>
      <w:r w:rsidRPr="00AB3517">
        <w:t>*Assessors can demonstrate current work experience through employment within Industry in a role relevant to the outcomes of the Unit; or, for external assessors this can be demonstrated throu</w:t>
      </w:r>
      <w:r w:rsidRPr="00AB3517">
        <w:t>gh exposure to Industry by conducting frequent site assessments across various locations.</w:t>
      </w:r>
    </w:p>
    <w:p w:rsidR="00000000" w:rsidRPr="00AB3517" w:rsidP="00AB3517">
      <w:pPr>
        <w:pStyle w:val="BodyText"/>
      </w:pPr>
      <w:r w:rsidRPr="00AB3517">
        <w:t>**Where a unit is being delivered outside of a Qualification the first numeric character in the Unit code should be considered to indicate the AQF level</w:t>
      </w:r>
    </w:p>
    <w:p w:rsidR="00000000" w:rsidRPr="00AB3517" w:rsidP="00AB3517">
      <w:pPr>
        <w:pStyle w:val="AllowPageBreak"/>
      </w:pPr>
    </w:p>
    <w:p w:rsidR="00000000" w:rsidRPr="00AB3517" w:rsidP="00AB3517">
      <w:pPr>
        <w:pStyle w:val="Heading1"/>
      </w:pPr>
      <w:bookmarkStart w:id="5" w:name="O_688514"/>
      <w:bookmarkEnd w:id="5"/>
      <w:r w:rsidRPr="00AB3517">
        <w:t>Links</w:t>
      </w:r>
    </w:p>
    <w:p w:rsidR="00000000" w:rsidRPr="00AB3517" w:rsidP="00AB3517">
      <w:pPr>
        <w:pStyle w:val="BodyText"/>
      </w:pPr>
      <w:r w:rsidRPr="00AB3517">
        <w:t>SkillsDMC RII Companion Volumes - http://www.skillsdmc.com.au/</w:t>
      </w:r>
    </w:p>
    <w:p w:rsidR="00000000" w:rsidRPr="00AB3517" w:rsidP="00AB3517"/>
    <w:sectPr w:rsidSect="00AB35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17" w:rsidRPr="00E30E99" w:rsidP="00E30E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99" w:rsidP="00AB35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30E99" w:rsidP="00AB351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E30E99" w:rsidP="00AB35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17" w:rsidRPr="00E30E99" w:rsidP="00E30E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5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99" w:rsidRPr="002D2AF8" w:rsidP="00AB3517">
    <w:pPr>
      <w:pStyle w:val="Header"/>
      <w:framePr w:wrap="around"/>
    </w:pPr>
    <w:r>
      <w:fldChar w:fldCharType="begin"/>
    </w:r>
    <w:r>
      <w:instrText xml:space="preserve"> TITLE   \* MERGEFORMAT </w:instrText>
    </w:r>
    <w:r>
      <w:fldChar w:fldCharType="separate"/>
    </w:r>
    <w:r>
      <w:t>Assessment Requirements for RIIHAN307D Operate a vehicle loading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E30E99" w:rsidP="00AB35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4A1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668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0E98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5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517"/>
    <w:pPr>
      <w:spacing w:before="360" w:after="60"/>
      <w:outlineLvl w:val="0"/>
    </w:pPr>
    <w:rPr>
      <w:sz w:val="32"/>
    </w:rPr>
  </w:style>
  <w:style w:type="paragraph" w:styleId="Heading2">
    <w:name w:val="heading 2"/>
    <w:basedOn w:val="HeadingBase"/>
    <w:next w:val="BodyText"/>
    <w:link w:val="Heading2Char"/>
    <w:qFormat/>
    <w:rsid w:val="00AB3517"/>
    <w:pPr>
      <w:keepLines/>
      <w:spacing w:before="240" w:after="120"/>
      <w:outlineLvl w:val="1"/>
    </w:pPr>
    <w:rPr>
      <w:sz w:val="28"/>
      <w:szCs w:val="40"/>
    </w:rPr>
  </w:style>
  <w:style w:type="paragraph" w:styleId="Heading3">
    <w:name w:val="heading 3"/>
    <w:basedOn w:val="HeadingBase"/>
    <w:next w:val="BodyText"/>
    <w:link w:val="Heading3Char"/>
    <w:qFormat/>
    <w:rsid w:val="00AB3517"/>
    <w:pPr>
      <w:spacing w:before="180" w:after="120"/>
      <w:outlineLvl w:val="2"/>
    </w:pPr>
    <w:rPr>
      <w:spacing w:val="-10"/>
      <w:kern w:val="32"/>
    </w:rPr>
  </w:style>
  <w:style w:type="paragraph" w:styleId="Heading4">
    <w:name w:val="heading 4"/>
    <w:basedOn w:val="HeadingBase"/>
    <w:next w:val="BodyText"/>
    <w:link w:val="Heading4Char"/>
    <w:qFormat/>
    <w:rsid w:val="00AB3517"/>
    <w:pPr>
      <w:spacing w:before="160" w:after="120"/>
      <w:outlineLvl w:val="3"/>
    </w:pPr>
    <w:rPr>
      <w:sz w:val="22"/>
    </w:rPr>
  </w:style>
  <w:style w:type="paragraph" w:styleId="Heading5">
    <w:name w:val="heading 5"/>
    <w:basedOn w:val="HeadingBase"/>
    <w:next w:val="Normal"/>
    <w:link w:val="Heading5Char"/>
    <w:qFormat/>
    <w:rsid w:val="00AB3517"/>
    <w:pPr>
      <w:spacing w:before="80"/>
      <w:outlineLvl w:val="4"/>
    </w:pPr>
    <w:rPr>
      <w:color w:val="918585"/>
      <w:sz w:val="20"/>
    </w:rPr>
  </w:style>
  <w:style w:type="paragraph" w:styleId="Heading6">
    <w:name w:val="heading 6"/>
    <w:basedOn w:val="HeadingBase"/>
    <w:next w:val="Normal"/>
    <w:link w:val="Heading6Char"/>
    <w:qFormat/>
    <w:rsid w:val="00AB3517"/>
    <w:pPr>
      <w:spacing w:before="60"/>
      <w:outlineLvl w:val="5"/>
    </w:pPr>
    <w:rPr>
      <w:color w:val="918585"/>
      <w:sz w:val="20"/>
    </w:rPr>
  </w:style>
  <w:style w:type="paragraph" w:styleId="Heading7">
    <w:name w:val="heading 7"/>
    <w:basedOn w:val="Normal"/>
    <w:next w:val="Normal"/>
    <w:link w:val="Heading7Char"/>
    <w:qFormat/>
    <w:rsid w:val="00AB3517"/>
    <w:pPr>
      <w:ind w:left="720"/>
      <w:outlineLvl w:val="6"/>
    </w:pPr>
    <w:rPr>
      <w:i/>
    </w:rPr>
  </w:style>
  <w:style w:type="paragraph" w:styleId="Heading8">
    <w:name w:val="heading 8"/>
    <w:basedOn w:val="Normal"/>
    <w:next w:val="Normal"/>
    <w:link w:val="Heading8Char"/>
    <w:qFormat/>
    <w:rsid w:val="00AB3517"/>
    <w:pPr>
      <w:ind w:left="720"/>
      <w:outlineLvl w:val="7"/>
    </w:pPr>
    <w:rPr>
      <w:i/>
    </w:rPr>
  </w:style>
  <w:style w:type="paragraph" w:styleId="Heading9">
    <w:name w:val="heading 9"/>
    <w:basedOn w:val="Normal"/>
    <w:next w:val="Normal"/>
    <w:link w:val="Heading9Char"/>
    <w:qFormat/>
    <w:rsid w:val="00AB3517"/>
    <w:pPr>
      <w:ind w:left="720"/>
      <w:outlineLvl w:val="8"/>
    </w:pPr>
    <w:rPr>
      <w:i/>
    </w:rPr>
  </w:style>
  <w:style w:type="character" w:default="1" w:styleId="DefaultParagraphFont">
    <w:name w:val="Default Paragraph Font"/>
    <w:uiPriority w:val="1"/>
    <w:unhideWhenUsed/>
    <w:rsid w:val="00AB35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517"/>
  </w:style>
  <w:style w:type="character" w:customStyle="1" w:styleId="Heading1Char">
    <w:name w:val="Heading 1 Char"/>
    <w:basedOn w:val="DefaultParagraphFont"/>
    <w:link w:val="Heading1"/>
    <w:rsid w:val="00AB3517"/>
    <w:rPr>
      <w:rFonts w:ascii="Times New Roman" w:eastAsia="Times New Roman" w:hAnsi="Times New Roman" w:cs="Times New Roman"/>
      <w:b/>
      <w:sz w:val="32"/>
      <w:szCs w:val="20"/>
      <w:lang w:eastAsia="en-US"/>
    </w:rPr>
  </w:style>
  <w:style w:type="paragraph" w:styleId="BodyText">
    <w:name w:val="Body Text"/>
    <w:basedOn w:val="Normal"/>
    <w:link w:val="BodyTextChar"/>
    <w:rsid w:val="00AB35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3517"/>
    <w:rPr>
      <w:rFonts w:ascii="Times New Roman" w:eastAsia="Times New Roman" w:hAnsi="Times New Roman" w:cs="Times New Roman"/>
      <w:sz w:val="24"/>
      <w:lang w:eastAsia="en-US"/>
    </w:rPr>
  </w:style>
  <w:style w:type="paragraph" w:styleId="ListBullet">
    <w:name w:val="List Bullet"/>
    <w:basedOn w:val="List"/>
    <w:rsid w:val="00AB3517"/>
    <w:pPr>
      <w:numPr>
        <w:numId w:val="13"/>
      </w:numPr>
      <w:tabs>
        <w:tab w:val="clear" w:pos="340"/>
      </w:tabs>
      <w:spacing w:before="40" w:after="40"/>
    </w:pPr>
  </w:style>
  <w:style w:type="paragraph" w:styleId="ListBullet2">
    <w:name w:val="List Bullet 2"/>
    <w:basedOn w:val="List2"/>
    <w:rsid w:val="00AB3517"/>
    <w:pPr>
      <w:numPr>
        <w:numId w:val="14"/>
      </w:numPr>
      <w:tabs>
        <w:tab w:val="clear" w:pos="680"/>
      </w:tabs>
    </w:pPr>
  </w:style>
  <w:style w:type="paragraph" w:customStyle="1" w:styleId="SuperHeading">
    <w:name w:val="SuperHeading"/>
    <w:basedOn w:val="Normal"/>
    <w:rsid w:val="00AB3517"/>
    <w:pPr>
      <w:spacing w:before="240" w:after="120"/>
      <w:outlineLvl w:val="0"/>
    </w:pPr>
    <w:rPr>
      <w:rFonts w:ascii="Times New Roman" w:hAnsi="Times New Roman"/>
      <w:b/>
      <w:sz w:val="32"/>
    </w:rPr>
  </w:style>
  <w:style w:type="paragraph" w:customStyle="1" w:styleId="AllowPageBreak">
    <w:name w:val="AllowPageBreak"/>
    <w:rsid w:val="00AB35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5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5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5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5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5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5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5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517"/>
    <w:rPr>
      <w:rFonts w:ascii="Courier New" w:eastAsia="Times New Roman" w:hAnsi="Courier New" w:cs="Times New Roman"/>
      <w:i/>
      <w:szCs w:val="20"/>
      <w:lang w:eastAsia="en-US"/>
    </w:rPr>
  </w:style>
  <w:style w:type="paragraph" w:customStyle="1" w:styleId="HeadingBase">
    <w:name w:val="Heading Base"/>
    <w:rsid w:val="00AB35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517"/>
    <w:pPr>
      <w:tabs>
        <w:tab w:val="right" w:leader="dot" w:pos="9072"/>
      </w:tabs>
      <w:ind w:left="567"/>
    </w:pPr>
    <w:rPr>
      <w:szCs w:val="22"/>
    </w:rPr>
  </w:style>
  <w:style w:type="paragraph" w:customStyle="1" w:styleId="TOCBase">
    <w:name w:val="TOC Base"/>
    <w:rsid w:val="00AB35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517"/>
    <w:pPr>
      <w:tabs>
        <w:tab w:val="right" w:leader="dot" w:pos="9072"/>
      </w:tabs>
      <w:spacing w:before="40" w:after="40"/>
      <w:ind w:left="284"/>
    </w:pPr>
    <w:rPr>
      <w:rFonts w:ascii="Times New Roman" w:hAnsi="Times New Roman"/>
    </w:rPr>
  </w:style>
  <w:style w:type="paragraph" w:styleId="TOC1">
    <w:name w:val="toc 1"/>
    <w:basedOn w:val="TOCBase"/>
    <w:next w:val="Normal"/>
    <w:rsid w:val="00AB35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5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517"/>
    <w:rPr>
      <w:rFonts w:ascii="Times New Roman" w:eastAsia="Times New Roman" w:hAnsi="Times New Roman" w:cs="Times New Roman"/>
      <w:sz w:val="16"/>
      <w:lang w:eastAsia="en-US"/>
    </w:rPr>
  </w:style>
  <w:style w:type="paragraph" w:styleId="Title">
    <w:name w:val="Title"/>
    <w:basedOn w:val="HeadingBase"/>
    <w:link w:val="TitleChar"/>
    <w:qFormat/>
    <w:rsid w:val="00AB3517"/>
    <w:pPr>
      <w:spacing w:before="5040"/>
      <w:jc w:val="center"/>
    </w:pPr>
    <w:rPr>
      <w:sz w:val="48"/>
      <w:szCs w:val="72"/>
      <w:lang w:val="en-US"/>
    </w:rPr>
  </w:style>
  <w:style w:type="character" w:customStyle="1" w:styleId="TitleChar">
    <w:name w:val="Title Char"/>
    <w:basedOn w:val="DefaultParagraphFont"/>
    <w:link w:val="Title"/>
    <w:rsid w:val="00AB35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517"/>
    <w:pPr>
      <w:tabs>
        <w:tab w:val="left" w:pos="3600"/>
        <w:tab w:val="left" w:pos="3958"/>
      </w:tabs>
    </w:pPr>
  </w:style>
  <w:style w:type="paragraph" w:styleId="List">
    <w:name w:val="List"/>
    <w:basedOn w:val="BodyText"/>
    <w:next w:val="BodyText"/>
    <w:rsid w:val="00AB3517"/>
    <w:pPr>
      <w:tabs>
        <w:tab w:val="left" w:pos="340"/>
      </w:tabs>
      <w:spacing w:before="60" w:after="60"/>
      <w:ind w:left="340" w:hanging="340"/>
    </w:pPr>
  </w:style>
  <w:style w:type="paragraph" w:customStyle="1" w:styleId="Note">
    <w:name w:val="Note"/>
    <w:basedOn w:val="BodyText"/>
    <w:rsid w:val="00AB35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3517"/>
    <w:rPr>
      <w:b/>
      <w:spacing w:val="0"/>
    </w:rPr>
  </w:style>
  <w:style w:type="paragraph" w:customStyle="1" w:styleId="SuperTitle">
    <w:name w:val="SuperTitle"/>
    <w:basedOn w:val="Title"/>
    <w:rsid w:val="00AB3517"/>
    <w:pPr>
      <w:framePr w:wrap="auto" w:hAnchor="text" w:y="6049"/>
    </w:pPr>
    <w:rPr>
      <w:color w:val="000000"/>
      <w:sz w:val="40"/>
    </w:rPr>
  </w:style>
  <w:style w:type="paragraph" w:customStyle="1" w:styleId="TOCTitle">
    <w:name w:val="TOCTitle"/>
    <w:basedOn w:val="Heading1"/>
    <w:rsid w:val="00AB3517"/>
    <w:pPr>
      <w:spacing w:after="240"/>
      <w:jc w:val="center"/>
      <w:outlineLvl w:val="9"/>
    </w:pPr>
    <w:rPr>
      <w:caps/>
    </w:rPr>
  </w:style>
  <w:style w:type="paragraph" w:customStyle="1" w:styleId="Version">
    <w:name w:val="Version"/>
    <w:rsid w:val="00AB35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517"/>
    <w:pPr>
      <w:keepNext w:val="0"/>
      <w:tabs>
        <w:tab w:val="right" w:pos="4176"/>
      </w:tabs>
      <w:ind w:left="198" w:hanging="198"/>
    </w:pPr>
    <w:rPr>
      <w:rFonts w:ascii="Garamond" w:hAnsi="Garamond"/>
    </w:rPr>
  </w:style>
  <w:style w:type="paragraph" w:styleId="IndexHeading">
    <w:name w:val="index heading"/>
    <w:basedOn w:val="Normal"/>
    <w:next w:val="Index1"/>
    <w:semiHidden/>
    <w:rsid w:val="00AB3517"/>
    <w:pPr>
      <w:spacing w:before="120" w:after="120"/>
    </w:pPr>
    <w:rPr>
      <w:rFonts w:ascii="Arial" w:hAnsi="Arial"/>
      <w:b/>
      <w:color w:val="918585"/>
      <w:sz w:val="24"/>
    </w:rPr>
  </w:style>
  <w:style w:type="paragraph" w:styleId="Header">
    <w:name w:val="header"/>
    <w:basedOn w:val="Normal"/>
    <w:link w:val="HeaderChar"/>
    <w:rsid w:val="00AB35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517"/>
    <w:rPr>
      <w:rFonts w:ascii="Times New Roman" w:eastAsia="Times New Roman" w:hAnsi="Times New Roman" w:cs="Times New Roman"/>
      <w:sz w:val="16"/>
      <w:szCs w:val="20"/>
      <w:lang w:val="en-GB" w:eastAsia="en-US"/>
    </w:rPr>
  </w:style>
  <w:style w:type="paragraph" w:customStyle="1" w:styleId="Chapter">
    <w:name w:val="Chapter"/>
    <w:basedOn w:val="Normal"/>
    <w:rsid w:val="00AB3517"/>
    <w:pPr>
      <w:spacing w:before="240"/>
    </w:pPr>
    <w:rPr>
      <w:rFonts w:ascii="Times New Roman" w:hAnsi="Times New Roman"/>
      <w:smallCaps/>
      <w:spacing w:val="80"/>
      <w:sz w:val="28"/>
    </w:rPr>
  </w:style>
  <w:style w:type="paragraph" w:customStyle="1" w:styleId="InChapter">
    <w:name w:val="InChapter"/>
    <w:basedOn w:val="Heading3"/>
    <w:rsid w:val="00AB3517"/>
    <w:pPr>
      <w:spacing w:after="240"/>
      <w:outlineLvl w:val="9"/>
    </w:pPr>
    <w:rPr>
      <w:noProof/>
    </w:rPr>
  </w:style>
  <w:style w:type="paragraph" w:styleId="Index2">
    <w:name w:val="index 2"/>
    <w:basedOn w:val="Normal"/>
    <w:next w:val="Normal"/>
    <w:semiHidden/>
    <w:rsid w:val="00AB3517"/>
    <w:pPr>
      <w:tabs>
        <w:tab w:val="right" w:pos="4176"/>
      </w:tabs>
      <w:ind w:left="568" w:hanging="284"/>
    </w:pPr>
    <w:rPr>
      <w:rFonts w:ascii="Garamond" w:hAnsi="Garamond"/>
    </w:rPr>
  </w:style>
  <w:style w:type="paragraph" w:customStyle="1" w:styleId="Byline">
    <w:name w:val="Byline"/>
    <w:rsid w:val="00AB35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517"/>
    <w:pPr>
      <w:tabs>
        <w:tab w:val="clear" w:pos="3600"/>
        <w:tab w:val="clear" w:pos="3958"/>
      </w:tabs>
      <w:jc w:val="right"/>
    </w:pPr>
  </w:style>
  <w:style w:type="character" w:styleId="Emphasis">
    <w:name w:val="Emphasis"/>
    <w:basedOn w:val="DefaultParagraphFont"/>
    <w:qFormat/>
    <w:rsid w:val="00AB3517"/>
    <w:rPr>
      <w:i/>
    </w:rPr>
  </w:style>
  <w:style w:type="paragraph" w:styleId="Caption">
    <w:name w:val="caption"/>
    <w:basedOn w:val="BodyText"/>
    <w:next w:val="Normal"/>
    <w:qFormat/>
    <w:rsid w:val="00AB3517"/>
    <w:pPr>
      <w:framePr w:w="2268" w:hSpace="181" w:vSpace="181" w:wrap="around" w:vAnchor="text" w:hAnchor="page" w:x="1135" w:y="285" w:anchorLock="1"/>
    </w:pPr>
    <w:rPr>
      <w:i/>
    </w:rPr>
  </w:style>
  <w:style w:type="paragraph" w:customStyle="1" w:styleId="MiniTOCTitle">
    <w:name w:val="MiniTOCTitle"/>
    <w:basedOn w:val="Heading4"/>
    <w:rsid w:val="00AB3517"/>
    <w:pPr>
      <w:spacing w:before="240"/>
      <w:outlineLvl w:val="9"/>
    </w:pPr>
    <w:rPr>
      <w:noProof/>
      <w:sz w:val="24"/>
    </w:rPr>
  </w:style>
  <w:style w:type="paragraph" w:customStyle="1" w:styleId="MiniTOCItem">
    <w:name w:val="MiniTOCItem"/>
    <w:basedOn w:val="ListBullet"/>
    <w:rsid w:val="00AB3517"/>
    <w:pPr>
      <w:numPr>
        <w:numId w:val="0"/>
      </w:numPr>
      <w:tabs>
        <w:tab w:val="right" w:leader="dot" w:pos="6521"/>
      </w:tabs>
      <w:spacing w:before="0" w:after="0"/>
    </w:pPr>
  </w:style>
  <w:style w:type="paragraph" w:customStyle="1" w:styleId="TOFTitle">
    <w:name w:val="TOFTitle"/>
    <w:basedOn w:val="TOCTitle"/>
    <w:rsid w:val="00AB3517"/>
  </w:style>
  <w:style w:type="paragraph" w:styleId="TableofFigures">
    <w:name w:val="table of figures"/>
    <w:basedOn w:val="Normal"/>
    <w:next w:val="Normal"/>
    <w:semiHidden/>
    <w:rsid w:val="00AB3517"/>
    <w:pPr>
      <w:tabs>
        <w:tab w:val="right" w:leader="dot" w:pos="9072"/>
      </w:tabs>
      <w:ind w:left="970" w:hanging="403"/>
    </w:pPr>
    <w:rPr>
      <w:rFonts w:ascii="Times New Roman" w:hAnsi="Times New Roman"/>
      <w:b/>
    </w:rPr>
  </w:style>
  <w:style w:type="paragraph" w:styleId="ListNumber">
    <w:name w:val="List Number"/>
    <w:basedOn w:val="List"/>
    <w:rsid w:val="00AB3517"/>
    <w:pPr>
      <w:numPr>
        <w:numId w:val="11"/>
      </w:numPr>
    </w:pPr>
  </w:style>
  <w:style w:type="character" w:customStyle="1" w:styleId="WingdingSymbols">
    <w:name w:val="Wingding Symbols"/>
    <w:rsid w:val="00AB3517"/>
    <w:rPr>
      <w:rFonts w:ascii="Wingdings" w:hAnsi="Wingdings"/>
    </w:rPr>
  </w:style>
  <w:style w:type="paragraph" w:customStyle="1" w:styleId="TableHeading">
    <w:name w:val="Table Heading"/>
    <w:basedOn w:val="HeadingBase"/>
    <w:rsid w:val="00AB3517"/>
    <w:pPr>
      <w:keepLines/>
      <w:pBdr>
        <w:bottom w:val="single" w:sz="6" w:space="1" w:color="918585"/>
      </w:pBdr>
      <w:spacing w:before="240"/>
    </w:pPr>
  </w:style>
  <w:style w:type="character" w:customStyle="1" w:styleId="HotSpot">
    <w:name w:val="HotSpot"/>
    <w:rsid w:val="00AB3517"/>
    <w:rPr>
      <w:color w:val="0033CC"/>
      <w:u w:val="none"/>
    </w:rPr>
  </w:style>
  <w:style w:type="paragraph" w:customStyle="1" w:styleId="BodyTextRight">
    <w:name w:val="Body Text Right"/>
    <w:basedOn w:val="BodyText"/>
    <w:rsid w:val="00AB3517"/>
    <w:pPr>
      <w:spacing w:before="0" w:after="0"/>
      <w:jc w:val="right"/>
    </w:pPr>
  </w:style>
  <w:style w:type="paragraph" w:styleId="Index3">
    <w:name w:val="index 3"/>
    <w:basedOn w:val="ListNumber2"/>
    <w:next w:val="Normal"/>
    <w:semiHidden/>
    <w:rsid w:val="00AB3517"/>
    <w:pPr>
      <w:numPr>
        <w:numId w:val="0"/>
      </w:numPr>
      <w:tabs>
        <w:tab w:val="right" w:leader="dot" w:pos="4176"/>
      </w:tabs>
    </w:pPr>
  </w:style>
  <w:style w:type="paragraph" w:styleId="ListNumber2">
    <w:name w:val="List Number 2"/>
    <w:basedOn w:val="List2"/>
    <w:rsid w:val="00AB3517"/>
    <w:pPr>
      <w:numPr>
        <w:numId w:val="10"/>
      </w:numPr>
      <w:tabs>
        <w:tab w:val="clear" w:pos="1060"/>
      </w:tabs>
    </w:pPr>
  </w:style>
  <w:style w:type="paragraph" w:customStyle="1" w:styleId="MarginNote">
    <w:name w:val="Margin Note"/>
    <w:basedOn w:val="BodyText"/>
    <w:rsid w:val="00AB35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5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5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517"/>
    <w:rPr>
      <w:sz w:val="32"/>
    </w:rPr>
  </w:style>
  <w:style w:type="paragraph" w:customStyle="1" w:styleId="HeadingProcedure">
    <w:name w:val="Heading Procedure"/>
    <w:basedOn w:val="HeadingBase"/>
    <w:next w:val="Normal"/>
    <w:rsid w:val="00AB3517"/>
    <w:pPr>
      <w:tabs>
        <w:tab w:val="left" w:pos="0"/>
      </w:tabs>
      <w:spacing w:before="120" w:after="60"/>
    </w:pPr>
    <w:rPr>
      <w:i/>
      <w:color w:val="918585"/>
      <w:sz w:val="22"/>
    </w:rPr>
  </w:style>
  <w:style w:type="paragraph" w:customStyle="1" w:styleId="TableBodyText">
    <w:name w:val="Table Body Text"/>
    <w:basedOn w:val="BodyText"/>
    <w:rsid w:val="00AB3517"/>
    <w:pPr>
      <w:spacing w:before="60" w:after="60"/>
    </w:pPr>
  </w:style>
  <w:style w:type="paragraph" w:styleId="ListContinue">
    <w:name w:val="List Continue"/>
    <w:basedOn w:val="List"/>
    <w:rsid w:val="00AB3517"/>
    <w:pPr>
      <w:ind w:firstLine="0"/>
    </w:pPr>
  </w:style>
  <w:style w:type="paragraph" w:customStyle="1" w:styleId="ListNote">
    <w:name w:val="List Note"/>
    <w:basedOn w:val="List"/>
    <w:rsid w:val="00AB3517"/>
    <w:pPr>
      <w:pBdr>
        <w:top w:val="single" w:sz="6" w:space="2" w:color="918585"/>
        <w:bottom w:val="single" w:sz="6" w:space="2" w:color="918585"/>
      </w:pBdr>
      <w:tabs>
        <w:tab w:val="left" w:pos="1021"/>
      </w:tabs>
      <w:ind w:firstLine="0"/>
    </w:pPr>
  </w:style>
  <w:style w:type="paragraph" w:customStyle="1" w:styleId="Warning">
    <w:name w:val="Warning"/>
    <w:basedOn w:val="BodyText"/>
    <w:rsid w:val="00AB3517"/>
    <w:pPr>
      <w:shd w:val="clear" w:color="auto" w:fill="D9D9D9"/>
      <w:tabs>
        <w:tab w:val="left" w:pos="992"/>
      </w:tabs>
      <w:ind w:left="119" w:right="119"/>
    </w:pPr>
    <w:rPr>
      <w:sz w:val="20"/>
    </w:rPr>
  </w:style>
  <w:style w:type="paragraph" w:customStyle="1" w:styleId="MarginIcons">
    <w:name w:val="Margin Icons"/>
    <w:basedOn w:val="BodyText"/>
    <w:rsid w:val="00AB35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517"/>
    <w:rPr>
      <w:rFonts w:ascii="Courier New" w:hAnsi="Courier New"/>
    </w:rPr>
  </w:style>
  <w:style w:type="paragraph" w:customStyle="1" w:styleId="NoteBullet">
    <w:name w:val="Note Bullet"/>
    <w:basedOn w:val="Note"/>
    <w:rsid w:val="00AB3517"/>
    <w:pPr>
      <w:tabs>
        <w:tab w:val="clear" w:pos="680"/>
      </w:tabs>
      <w:spacing w:before="60" w:after="60"/>
    </w:pPr>
  </w:style>
  <w:style w:type="paragraph" w:customStyle="1" w:styleId="SubHeading2">
    <w:name w:val="SubHeading2"/>
    <w:basedOn w:val="HeadingBase"/>
    <w:rsid w:val="00AB3517"/>
    <w:pPr>
      <w:spacing w:before="240" w:after="60"/>
    </w:pPr>
    <w:rPr>
      <w:sz w:val="20"/>
    </w:rPr>
  </w:style>
  <w:style w:type="paragraph" w:customStyle="1" w:styleId="SubHeading1">
    <w:name w:val="SubHeading1"/>
    <w:basedOn w:val="HeadingBase"/>
    <w:rsid w:val="00AB3517"/>
    <w:pPr>
      <w:spacing w:before="240" w:after="60"/>
    </w:pPr>
    <w:rPr>
      <w:color w:val="918585"/>
      <w:sz w:val="22"/>
    </w:rPr>
  </w:style>
  <w:style w:type="paragraph" w:customStyle="1" w:styleId="SideHeading">
    <w:name w:val="Side Heading"/>
    <w:basedOn w:val="HeadingBase"/>
    <w:rsid w:val="00AB35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517"/>
    <w:pPr>
      <w:numPr>
        <w:numId w:val="12"/>
      </w:numPr>
    </w:pPr>
  </w:style>
  <w:style w:type="paragraph" w:styleId="PlainText">
    <w:name w:val="Plain Text"/>
    <w:basedOn w:val="Normal"/>
    <w:link w:val="PlainTextChar"/>
    <w:rsid w:val="00AB3517"/>
    <w:rPr>
      <w:sz w:val="20"/>
    </w:rPr>
  </w:style>
  <w:style w:type="character" w:customStyle="1" w:styleId="PlainTextChar">
    <w:name w:val="Plain Text Char"/>
    <w:basedOn w:val="DefaultParagraphFont"/>
    <w:link w:val="PlainText"/>
    <w:rsid w:val="00AB3517"/>
    <w:rPr>
      <w:rFonts w:ascii="Courier New" w:eastAsia="Times New Roman" w:hAnsi="Courier New" w:cs="Times New Roman"/>
      <w:sz w:val="20"/>
      <w:szCs w:val="20"/>
      <w:lang w:eastAsia="en-US"/>
    </w:rPr>
  </w:style>
  <w:style w:type="character" w:customStyle="1" w:styleId="MenuOption">
    <w:name w:val="Menu Option"/>
    <w:basedOn w:val="DefaultParagraphFont"/>
    <w:rsid w:val="00AB3517"/>
    <w:rPr>
      <w:b/>
      <w:smallCaps/>
    </w:rPr>
  </w:style>
  <w:style w:type="paragraph" w:customStyle="1" w:styleId="TableListNumber">
    <w:name w:val="Table List Number"/>
    <w:basedOn w:val="ListNumber"/>
    <w:rsid w:val="00AB3517"/>
    <w:pPr>
      <w:numPr>
        <w:numId w:val="0"/>
      </w:numPr>
    </w:pPr>
  </w:style>
  <w:style w:type="paragraph" w:styleId="TOC4">
    <w:name w:val="toc 4"/>
    <w:basedOn w:val="TOCBase"/>
    <w:next w:val="Normal"/>
    <w:semiHidden/>
    <w:rsid w:val="00AB3517"/>
    <w:pPr>
      <w:tabs>
        <w:tab w:val="right" w:leader="dot" w:pos="9071"/>
      </w:tabs>
      <w:ind w:left="1701"/>
    </w:pPr>
  </w:style>
  <w:style w:type="paragraph" w:customStyle="1" w:styleId="ListAlpha">
    <w:name w:val="List Alpha"/>
    <w:basedOn w:val="List"/>
    <w:rsid w:val="00AB3517"/>
    <w:pPr>
      <w:numPr>
        <w:numId w:val="9"/>
      </w:numPr>
    </w:pPr>
  </w:style>
  <w:style w:type="paragraph" w:customStyle="1" w:styleId="ListAlpha2">
    <w:name w:val="List Alpha 2"/>
    <w:basedOn w:val="List2"/>
    <w:rsid w:val="00AB3517"/>
    <w:pPr>
      <w:numPr>
        <w:numId w:val="8"/>
      </w:numPr>
    </w:pPr>
  </w:style>
  <w:style w:type="paragraph" w:styleId="List2">
    <w:name w:val="List 2"/>
    <w:basedOn w:val="BodyText"/>
    <w:rsid w:val="00AB3517"/>
    <w:pPr>
      <w:tabs>
        <w:tab w:val="left" w:pos="680"/>
      </w:tabs>
      <w:spacing w:before="60" w:after="60"/>
      <w:ind w:left="680" w:hanging="340"/>
    </w:pPr>
  </w:style>
  <w:style w:type="paragraph" w:styleId="List3">
    <w:name w:val="List 3"/>
    <w:basedOn w:val="BodyText"/>
    <w:rsid w:val="00AB3517"/>
    <w:pPr>
      <w:tabs>
        <w:tab w:val="left" w:pos="1021"/>
      </w:tabs>
      <w:spacing w:before="60" w:after="60"/>
      <w:ind w:left="1020" w:hanging="340"/>
    </w:pPr>
  </w:style>
  <w:style w:type="paragraph" w:styleId="List4">
    <w:name w:val="List 4"/>
    <w:basedOn w:val="BodyText"/>
    <w:rsid w:val="00AB3517"/>
    <w:pPr>
      <w:tabs>
        <w:tab w:val="left" w:pos="1361"/>
      </w:tabs>
      <w:spacing w:before="60" w:after="60"/>
      <w:ind w:left="1361" w:hanging="340"/>
    </w:pPr>
  </w:style>
  <w:style w:type="paragraph" w:styleId="List5">
    <w:name w:val="List 5"/>
    <w:basedOn w:val="BodyText"/>
    <w:rsid w:val="00AB3517"/>
    <w:pPr>
      <w:tabs>
        <w:tab w:val="left" w:pos="1701"/>
      </w:tabs>
      <w:spacing w:before="60" w:after="60"/>
      <w:ind w:left="1701" w:hanging="340"/>
    </w:pPr>
  </w:style>
  <w:style w:type="paragraph" w:styleId="ListBullet3">
    <w:name w:val="List Bullet 3"/>
    <w:basedOn w:val="List3"/>
    <w:rsid w:val="00AB3517"/>
    <w:pPr>
      <w:numPr>
        <w:numId w:val="15"/>
      </w:numPr>
      <w:tabs>
        <w:tab w:val="clear" w:pos="1021"/>
      </w:tabs>
      <w:ind w:left="1037" w:hanging="357"/>
    </w:pPr>
  </w:style>
  <w:style w:type="paragraph" w:styleId="ListBullet4">
    <w:name w:val="List Bullet 4"/>
    <w:basedOn w:val="List4"/>
    <w:rsid w:val="00AB3517"/>
    <w:pPr>
      <w:numPr>
        <w:numId w:val="3"/>
      </w:numPr>
      <w:tabs>
        <w:tab w:val="clear" w:pos="1361"/>
      </w:tabs>
    </w:pPr>
  </w:style>
  <w:style w:type="paragraph" w:styleId="ListBullet5">
    <w:name w:val="List Bullet 5"/>
    <w:basedOn w:val="List5"/>
    <w:rsid w:val="00AB3517"/>
    <w:pPr>
      <w:numPr>
        <w:numId w:val="4"/>
      </w:numPr>
    </w:pPr>
  </w:style>
  <w:style w:type="paragraph" w:styleId="ListContinue2">
    <w:name w:val="List Continue 2"/>
    <w:basedOn w:val="List2"/>
    <w:rsid w:val="00AB3517"/>
    <w:pPr>
      <w:ind w:firstLine="0"/>
    </w:pPr>
  </w:style>
  <w:style w:type="paragraph" w:styleId="ListContinue3">
    <w:name w:val="List Continue 3"/>
    <w:basedOn w:val="List3"/>
    <w:rsid w:val="00AB3517"/>
    <w:pPr>
      <w:ind w:left="1021" w:firstLine="0"/>
    </w:pPr>
  </w:style>
  <w:style w:type="paragraph" w:styleId="ListContinue4">
    <w:name w:val="List Continue 4"/>
    <w:basedOn w:val="List4"/>
    <w:rsid w:val="00AB3517"/>
    <w:pPr>
      <w:ind w:firstLine="0"/>
    </w:pPr>
  </w:style>
  <w:style w:type="paragraph" w:styleId="ListContinue5">
    <w:name w:val="List Continue 5"/>
    <w:basedOn w:val="List5"/>
    <w:rsid w:val="00AB3517"/>
    <w:pPr>
      <w:ind w:firstLine="0"/>
    </w:pPr>
  </w:style>
  <w:style w:type="paragraph" w:styleId="ListNumber3">
    <w:name w:val="List Number 3"/>
    <w:basedOn w:val="List3"/>
    <w:rsid w:val="00AB3517"/>
    <w:pPr>
      <w:numPr>
        <w:numId w:val="5"/>
      </w:numPr>
    </w:pPr>
  </w:style>
  <w:style w:type="paragraph" w:styleId="ListNumber4">
    <w:name w:val="List Number 4"/>
    <w:basedOn w:val="List4"/>
    <w:rsid w:val="00AB3517"/>
    <w:pPr>
      <w:numPr>
        <w:numId w:val="6"/>
      </w:numPr>
    </w:pPr>
  </w:style>
  <w:style w:type="paragraph" w:styleId="ListNumber5">
    <w:name w:val="List Number 5"/>
    <w:basedOn w:val="List5"/>
    <w:rsid w:val="00AB3517"/>
    <w:pPr>
      <w:numPr>
        <w:numId w:val="7"/>
      </w:numPr>
    </w:pPr>
  </w:style>
  <w:style w:type="paragraph" w:styleId="BlockText">
    <w:name w:val="Block Text"/>
    <w:basedOn w:val="Normal"/>
    <w:rsid w:val="00AB3517"/>
    <w:pPr>
      <w:spacing w:after="120"/>
      <w:ind w:left="1440" w:right="1440"/>
    </w:pPr>
  </w:style>
  <w:style w:type="character" w:customStyle="1" w:styleId="Subscript">
    <w:name w:val="Subscript"/>
    <w:basedOn w:val="DefaultParagraphFont"/>
    <w:rsid w:val="00AB3517"/>
    <w:rPr>
      <w:sz w:val="16"/>
      <w:vertAlign w:val="subscript"/>
    </w:rPr>
  </w:style>
  <w:style w:type="character" w:customStyle="1" w:styleId="Superscript">
    <w:name w:val="Superscript"/>
    <w:basedOn w:val="DefaultParagraphFont"/>
    <w:rsid w:val="00AB3517"/>
    <w:rPr>
      <w:sz w:val="16"/>
      <w:vertAlign w:val="superscript"/>
    </w:rPr>
  </w:style>
  <w:style w:type="character" w:customStyle="1" w:styleId="Symbols">
    <w:name w:val="Symbols"/>
    <w:basedOn w:val="DefaultParagraphFont"/>
    <w:rsid w:val="00AB3517"/>
    <w:rPr>
      <w:rFonts w:ascii="Symbol" w:hAnsi="Symbol"/>
    </w:rPr>
  </w:style>
  <w:style w:type="character" w:customStyle="1" w:styleId="MenuOptions">
    <w:name w:val="Menu Options"/>
    <w:basedOn w:val="DefaultParagraphFont"/>
    <w:rsid w:val="00AB3517"/>
    <w:rPr>
      <w:rFonts w:ascii="Arial Narrow" w:hAnsi="Arial Narrow"/>
      <w:smallCaps/>
    </w:rPr>
  </w:style>
  <w:style w:type="character" w:customStyle="1" w:styleId="Buttons">
    <w:name w:val="Buttons"/>
    <w:basedOn w:val="DefaultParagraphFont"/>
    <w:rsid w:val="00AB3517"/>
    <w:rPr>
      <w:b/>
    </w:rPr>
  </w:style>
  <w:style w:type="character" w:customStyle="1" w:styleId="Underlined">
    <w:name w:val="Underlined"/>
    <w:basedOn w:val="DefaultParagraphFont"/>
    <w:rsid w:val="00AB3517"/>
    <w:rPr>
      <w:u w:val="single"/>
    </w:rPr>
  </w:style>
  <w:style w:type="paragraph" w:customStyle="1" w:styleId="TableBodyTextRight">
    <w:name w:val="Table Body Text Right"/>
    <w:basedOn w:val="TableBodyText"/>
    <w:rsid w:val="00AB3517"/>
    <w:pPr>
      <w:widowControl w:val="0"/>
      <w:autoSpaceDE w:val="0"/>
      <w:autoSpaceDN w:val="0"/>
      <w:adjustRightInd w:val="0"/>
      <w:jc w:val="right"/>
    </w:pPr>
    <w:rPr>
      <w:rFonts w:cs="Arial"/>
      <w:szCs w:val="18"/>
    </w:rPr>
  </w:style>
  <w:style w:type="paragraph" w:customStyle="1" w:styleId="CopyrightText">
    <w:name w:val="Copyright Text"/>
    <w:basedOn w:val="BodyText"/>
    <w:rsid w:val="00AB3517"/>
    <w:rPr>
      <w:sz w:val="18"/>
    </w:rPr>
  </w:style>
  <w:style w:type="paragraph" w:customStyle="1" w:styleId="BodySmallRight">
    <w:name w:val="Body Small Right"/>
    <w:basedOn w:val="BodyTextRight"/>
    <w:rsid w:val="00AB3517"/>
    <w:rPr>
      <w:sz w:val="18"/>
      <w:szCs w:val="18"/>
    </w:rPr>
  </w:style>
  <w:style w:type="paragraph" w:customStyle="1" w:styleId="MarginEdition">
    <w:name w:val="Margin Edition"/>
    <w:basedOn w:val="MarginNote"/>
    <w:rsid w:val="00AB3517"/>
    <w:pPr>
      <w:spacing w:before="0" w:after="0"/>
    </w:pPr>
    <w:rPr>
      <w:rFonts w:ascii="Times New Roman" w:hAnsi="Times New Roman"/>
      <w:color w:val="999999"/>
    </w:rPr>
  </w:style>
  <w:style w:type="paragraph" w:customStyle="1" w:styleId="Spacer">
    <w:name w:val="Spacer"/>
    <w:basedOn w:val="Normal"/>
    <w:rsid w:val="00AB3517"/>
    <w:rPr>
      <w:sz w:val="2"/>
      <w:szCs w:val="2"/>
    </w:rPr>
  </w:style>
  <w:style w:type="character" w:customStyle="1" w:styleId="Small">
    <w:name w:val="Small"/>
    <w:basedOn w:val="DefaultParagraphFont"/>
    <w:rsid w:val="00AB3517"/>
    <w:rPr>
      <w:sz w:val="16"/>
    </w:rPr>
  </w:style>
  <w:style w:type="paragraph" w:customStyle="1" w:styleId="WideTable">
    <w:name w:val="Wide Table"/>
    <w:basedOn w:val="Normal"/>
    <w:rsid w:val="00AB3517"/>
    <w:pPr>
      <w:ind w:left="-1418"/>
    </w:pPr>
    <w:rPr>
      <w:sz w:val="2"/>
      <w:szCs w:val="2"/>
    </w:rPr>
  </w:style>
  <w:style w:type="character" w:styleId="PageNumber">
    <w:name w:val="page number"/>
    <w:basedOn w:val="DefaultParagraphFont"/>
    <w:rsid w:val="00AB3517"/>
  </w:style>
  <w:style w:type="paragraph" w:styleId="Quote">
    <w:name w:val="Quote"/>
    <w:basedOn w:val="Heading1"/>
    <w:link w:val="QuoteChar"/>
    <w:qFormat/>
    <w:rsid w:val="00AB3517"/>
    <w:rPr>
      <w:b w:val="0"/>
      <w:sz w:val="72"/>
      <w:szCs w:val="72"/>
      <w:lang w:val="en-NZ"/>
    </w:rPr>
  </w:style>
  <w:style w:type="character" w:customStyle="1" w:styleId="QuoteChar">
    <w:name w:val="Quote Char"/>
    <w:basedOn w:val="DefaultParagraphFont"/>
    <w:link w:val="Quote"/>
    <w:rsid w:val="00AB35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517"/>
    <w:pPr>
      <w:pageBreakBefore/>
    </w:pPr>
  </w:style>
  <w:style w:type="paragraph" w:customStyle="1" w:styleId="Border">
    <w:name w:val="Border"/>
    <w:basedOn w:val="Normal"/>
    <w:qFormat/>
    <w:rsid w:val="00AB35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517"/>
    <w:rPr>
      <w:b/>
      <w:bCs/>
      <w:i/>
      <w:iCs/>
      <w:color w:val="auto"/>
    </w:rPr>
  </w:style>
  <w:style w:type="paragraph" w:styleId="IntenseQuote">
    <w:name w:val="Intense Quote"/>
    <w:basedOn w:val="Normal"/>
    <w:next w:val="Normal"/>
    <w:link w:val="IntenseQuoteChar"/>
    <w:uiPriority w:val="30"/>
    <w:qFormat/>
    <w:rsid w:val="00AB35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5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517"/>
    <w:rPr>
      <w:smallCaps/>
      <w:color w:val="auto"/>
      <w:u w:val="single"/>
    </w:rPr>
  </w:style>
  <w:style w:type="character" w:styleId="IntenseReference">
    <w:name w:val="Intense Reference"/>
    <w:basedOn w:val="DefaultParagraphFont"/>
    <w:uiPriority w:val="32"/>
    <w:qFormat/>
    <w:rsid w:val="00AB3517"/>
    <w:rPr>
      <w:b/>
      <w:bCs/>
      <w:smallCaps/>
      <w:color w:val="auto"/>
      <w:spacing w:val="5"/>
      <w:u w:val="single"/>
    </w:rPr>
  </w:style>
  <w:style w:type="paragraph" w:customStyle="1" w:styleId="2ColumnHeading">
    <w:name w:val="2Column Heading"/>
    <w:basedOn w:val="BodyText"/>
    <w:qFormat/>
    <w:rsid w:val="00AB3517"/>
    <w:pPr>
      <w:spacing w:after="60"/>
      <w:ind w:left="-2268"/>
    </w:pPr>
    <w:rPr>
      <w:b/>
    </w:rPr>
  </w:style>
  <w:style w:type="paragraph" w:customStyle="1" w:styleId="Heading1TOC">
    <w:name w:val="Heading1 TOC"/>
    <w:basedOn w:val="Normal"/>
    <w:qFormat/>
    <w:rsid w:val="00AB3517"/>
    <w:pPr>
      <w:spacing w:before="240" w:after="120"/>
    </w:pPr>
    <w:rPr>
      <w:rFonts w:ascii="Times New Roman" w:hAnsi="Times New Roman"/>
      <w:b/>
      <w:sz w:val="32"/>
    </w:rPr>
  </w:style>
  <w:style w:type="paragraph" w:customStyle="1" w:styleId="Heading2TOC">
    <w:name w:val="Heading2 TOC"/>
    <w:basedOn w:val="Normal"/>
    <w:qFormat/>
    <w:rsid w:val="00AB3517"/>
    <w:pPr>
      <w:spacing w:before="240" w:after="60"/>
    </w:pPr>
    <w:rPr>
      <w:rFonts w:ascii="Times New Roman" w:hAnsi="Times New Roman"/>
      <w:b/>
      <w:sz w:val="28"/>
    </w:rPr>
  </w:style>
  <w:style w:type="character" w:customStyle="1" w:styleId="Underline">
    <w:name w:val="Underline"/>
    <w:basedOn w:val="DefaultParagraphFont"/>
    <w:qFormat/>
    <w:rsid w:val="00AB3517"/>
    <w:rPr>
      <w:u w:val="single"/>
    </w:rPr>
  </w:style>
  <w:style w:type="character" w:customStyle="1" w:styleId="BoldandItalics">
    <w:name w:val="Bold and Italics"/>
    <w:qFormat/>
    <w:rsid w:val="00AB3517"/>
    <w:rPr>
      <w:b/>
      <w:i/>
      <w:u w:val="none"/>
    </w:rPr>
  </w:style>
  <w:style w:type="paragraph" w:styleId="BalloonText">
    <w:name w:val="Balloon Text"/>
    <w:basedOn w:val="Normal"/>
    <w:link w:val="BalloonTextChar"/>
    <w:rsid w:val="00AB3517"/>
    <w:rPr>
      <w:rFonts w:ascii="Tahoma" w:hAnsi="Tahoma" w:cs="Tahoma"/>
      <w:sz w:val="16"/>
      <w:szCs w:val="16"/>
    </w:rPr>
  </w:style>
  <w:style w:type="character" w:customStyle="1" w:styleId="BalloonTextChar">
    <w:name w:val="Balloon Text Char"/>
    <w:basedOn w:val="DefaultParagraphFont"/>
    <w:link w:val="BalloonText"/>
    <w:rsid w:val="00AB35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5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35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517"/>
    <w:rPr>
      <w:b/>
      <w:color w:val="660033"/>
      <w:spacing w:val="0"/>
    </w:rPr>
  </w:style>
  <w:style w:type="paragraph" w:customStyle="1" w:styleId="Nameditemlist">
    <w:name w:val="Named item list"/>
    <w:basedOn w:val="BodyText"/>
    <w:qFormat/>
    <w:rsid w:val="00AB35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5753</Characters>
  <Application>Microsoft Office Word</Application>
  <DocSecurity>0</DocSecurity>
  <Lines>138</Lines>
  <Paragraphs>83</Paragraphs>
  <ScaleCrop>false</ScaleCrop>
  <Company>Author-it Software Corporation Ltd.</Company>
  <LinksUpToDate>false</LinksUpToDate>
  <CharactersWithSpaces>6648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RIIHAN307D Operate a vehicle loading crane</dc:title>
  <dc:subject>Approved</dc:subject>
  <dc:creator>SkillsDMC</dc:creator>
  <cp:keywords>Release: 3</cp:keywords>
  <dc:description>Review Date: 12 April 2008</dc:description>
  <cp:lastModifiedBy>HSD_TPCMSd.prod</cp:lastModifiedBy>
  <cp:revision>3</cp:revision>
  <dcterms:created xsi:type="dcterms:W3CDTF">2015-12-14T07:27:00Z</dcterms:created>
  <dcterms:modified xsi:type="dcterms:W3CDTF">2015-12-14T07:27:00Z</dcterms:modified>
</cp:coreProperties>
</file>