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F3E" w:rsidP="00414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RIIHAN201D Operate a forklift</w:t>
      </w:r>
      <w:r>
        <w:fldChar w:fldCharType="end"/>
      </w:r>
    </w:p>
    <w:p w:rsidR="00414F3E" w:rsidP="00414F3E">
      <w:pPr>
        <w:pStyle w:val="Version"/>
        <w:sectPr w:rsidSect="007B3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B363F" w:rsidP="007B363F">
      <w:pPr>
        <w:pStyle w:val="SuperHeading"/>
      </w:pPr>
      <w:r w:rsidRPr="007B363F">
        <w:t>Assessment Requirements for RIIHAN201D Operate a forklift</w:t>
      </w:r>
    </w:p>
    <w:p w:rsidR="00000000" w:rsidRPr="007B363F" w:rsidP="007B363F">
      <w:pPr>
        <w:pStyle w:val="Heading1"/>
      </w:pPr>
      <w:bookmarkStart w:id="1" w:name="O_687867"/>
      <w:bookmarkEnd w:id="1"/>
      <w:r w:rsidRPr="007B3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414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Comment</w:t>
            </w:r>
          </w:p>
        </w:tc>
      </w:tr>
      <w:tr w:rsidTr="00414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This unit replaces RIIHAN201A Operate a forklift.</w:t>
            </w:r>
          </w:p>
        </w:tc>
      </w:tr>
      <w:tr w:rsidTr="00414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3F" w:rsidP="007B363F">
            <w:pPr>
              <w:pStyle w:val="BodyText"/>
            </w:pPr>
            <w:r w:rsidRPr="007B363F">
              <w:t>Amend reference to Licensing requirements in Unit Application</w:t>
            </w:r>
          </w:p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Editorial corrections.</w:t>
            </w:r>
          </w:p>
        </w:tc>
      </w:tr>
      <w:tr w:rsidTr="00414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3F" w:rsidP="007B363F">
            <w:pPr>
              <w:pStyle w:val="BodyText"/>
            </w:pPr>
            <w:r w:rsidRPr="007B363F">
              <w:t>Required frequency and volume of evidence amended in Perfor</w:t>
            </w:r>
            <w:r w:rsidRPr="007B363F">
              <w:t>mance evidence.</w:t>
            </w:r>
          </w:p>
          <w:p w:rsidR="00000000" w:rsidRPr="007B363F" w:rsidP="007B363F">
            <w:pPr>
              <w:pStyle w:val="BodyText"/>
            </w:pPr>
            <w:r w:rsidRPr="007B363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B363F" w:rsidP="007B363F">
      <w:pPr>
        <w:pStyle w:val="BodyText"/>
      </w:pPr>
    </w:p>
    <w:p w:rsidR="00000000" w:rsidRPr="007B363F" w:rsidP="007B363F">
      <w:pPr>
        <w:pStyle w:val="AllowPageBreak"/>
      </w:pPr>
    </w:p>
    <w:p w:rsidR="00000000" w:rsidRPr="007B363F" w:rsidP="007B363F">
      <w:pPr>
        <w:pStyle w:val="Heading1"/>
      </w:pPr>
      <w:bookmarkStart w:id="2" w:name="O_687866"/>
      <w:bookmarkEnd w:id="2"/>
      <w:r w:rsidRPr="007B363F">
        <w:t>Performance Evidence</w:t>
      </w:r>
    </w:p>
    <w:p w:rsidR="00000000" w:rsidRPr="007B363F" w:rsidP="007B363F">
      <w:pPr>
        <w:pStyle w:val="BodyText"/>
      </w:pPr>
      <w:r w:rsidRPr="007B363F">
        <w:t>Evidence is required to be collected that demonstrates a candidate’s competency in this unit. Evidence must be relevant to the roles within this sector’s work operations and satisfy all of the requirements of the performance cr</w:t>
      </w:r>
      <w:r w:rsidRPr="007B363F">
        <w:t>iteria of this unit and include evidence that the candidate:</w:t>
      </w:r>
    </w:p>
    <w:p w:rsidR="00000000" w:rsidRPr="007B363F" w:rsidP="007B363F">
      <w:pPr>
        <w:pStyle w:val="ListBullet"/>
      </w:pPr>
      <w:r w:rsidRPr="007B363F">
        <w:t>locates and applies relevant documentation, policies and procedures</w:t>
      </w:r>
    </w:p>
    <w:p w:rsidR="00000000" w:rsidRPr="007B363F" w:rsidP="007B363F">
      <w:pPr>
        <w:pStyle w:val="ListBullet"/>
      </w:pPr>
      <w:r w:rsidRPr="007B363F">
        <w:t>works effectively with others to undertake and complete the operation of forklifts that meet all of the required outcomes incl</w:t>
      </w:r>
      <w:r w:rsidRPr="007B363F">
        <w:t>uding:</w:t>
      </w:r>
    </w:p>
    <w:p w:rsidR="00000000" w:rsidRPr="007B363F" w:rsidP="007B363F">
      <w:pPr>
        <w:pStyle w:val="ListBullet2"/>
      </w:pPr>
      <w:r w:rsidRPr="007B363F">
        <w:t>coordinating work activities with others prior to operating the forklift</w:t>
      </w:r>
    </w:p>
    <w:p w:rsidR="00000000" w:rsidRPr="007B363F" w:rsidP="007B363F">
      <w:pPr>
        <w:pStyle w:val="ListBullet"/>
      </w:pPr>
      <w:r w:rsidRPr="007B363F">
        <w:t>demonstrates completion of operating a fork lift that safely, effectively and efficiently meets all of the required outcomes on more than one (1) occasion including:</w:t>
      </w:r>
    </w:p>
    <w:p w:rsidR="00000000" w:rsidRPr="007B363F" w:rsidP="007B363F">
      <w:pPr>
        <w:pStyle w:val="ListBullet2"/>
      </w:pPr>
      <w:r w:rsidRPr="007B363F">
        <w:t>identif</w:t>
      </w:r>
      <w:r w:rsidRPr="007B363F">
        <w:t>ying the  surrounding environment and location of others when operating the forklift</w:t>
      </w:r>
    </w:p>
    <w:p w:rsidR="00000000" w:rsidRPr="007B363F" w:rsidP="007B363F">
      <w:pPr>
        <w:pStyle w:val="ListBullet2"/>
      </w:pPr>
      <w:r w:rsidRPr="007B363F">
        <w:t>using hand-eye coordination in correctly manoeuvring and controlling the forklift around obstacles on site</w:t>
      </w:r>
    </w:p>
    <w:p w:rsidR="00000000" w:rsidRPr="007B363F" w:rsidP="007B363F">
      <w:pPr>
        <w:pStyle w:val="ListBullet2"/>
      </w:pPr>
      <w:r w:rsidRPr="007B363F">
        <w:t xml:space="preserve">manoeuvring and positioning forklift </w:t>
      </w:r>
    </w:p>
    <w:p w:rsidR="00000000" w:rsidRPr="007B363F" w:rsidP="007B363F">
      <w:pPr>
        <w:pStyle w:val="ListBullet2"/>
      </w:pPr>
      <w:r w:rsidRPr="007B363F">
        <w:t>correctly fitting, using a</w:t>
      </w:r>
      <w:r w:rsidRPr="007B363F">
        <w:t>nd removing forklift attachments and using at least two (2) of the following attachments:</w:t>
      </w:r>
    </w:p>
    <w:p w:rsidR="00000000" w:rsidRPr="007B363F" w:rsidP="007B363F">
      <w:pPr>
        <w:pStyle w:val="ListBullet3"/>
      </w:pPr>
      <w:r w:rsidRPr="007B363F">
        <w:t xml:space="preserve">tyre handler </w:t>
      </w:r>
    </w:p>
    <w:p w:rsidR="00000000" w:rsidRPr="007B363F" w:rsidP="007B363F">
      <w:pPr>
        <w:pStyle w:val="ListBullet3"/>
      </w:pPr>
      <w:r w:rsidRPr="007B363F">
        <w:t xml:space="preserve">lifting device </w:t>
      </w:r>
    </w:p>
    <w:p w:rsidR="00000000" w:rsidRPr="007B363F" w:rsidP="007B363F">
      <w:pPr>
        <w:pStyle w:val="ListBullet3"/>
      </w:pPr>
      <w:r w:rsidRPr="007B363F">
        <w:t>slipper forks</w:t>
      </w:r>
    </w:p>
    <w:p w:rsidR="00000000" w:rsidRPr="007B363F" w:rsidP="007B363F">
      <w:pPr>
        <w:pStyle w:val="ListBullet2"/>
      </w:pPr>
      <w:r w:rsidRPr="007B363F">
        <w:t xml:space="preserve">securing, lifting, transferring and placing load </w:t>
      </w:r>
    </w:p>
    <w:p w:rsidR="00000000" w:rsidRPr="007B363F" w:rsidP="007B363F">
      <w:pPr>
        <w:pStyle w:val="ListBullet2"/>
      </w:pPr>
      <w:r w:rsidRPr="007B363F">
        <w:t>carrying out forklift inspection and maintenance including maintaining written equipment records</w:t>
      </w:r>
    </w:p>
    <w:p w:rsidR="00000000" w:rsidRPr="007B363F" w:rsidP="007B363F">
      <w:pPr>
        <w:pStyle w:val="AllowPageBreak"/>
      </w:pPr>
    </w:p>
    <w:p w:rsidR="00000000" w:rsidRPr="007B363F" w:rsidP="007B363F">
      <w:pPr>
        <w:pStyle w:val="Heading1"/>
      </w:pPr>
      <w:bookmarkStart w:id="3" w:name="O_687865"/>
      <w:bookmarkEnd w:id="3"/>
      <w:r w:rsidRPr="007B363F">
        <w:t>Knowledge Evidence</w:t>
      </w:r>
    </w:p>
    <w:p w:rsidR="00000000" w:rsidRPr="007B363F" w:rsidP="007B363F">
      <w:pPr>
        <w:pStyle w:val="BodyText"/>
      </w:pPr>
      <w:r w:rsidRPr="007B363F">
        <w:t>The candidate must demonstrate knowledge of the following when operating a forklift:</w:t>
      </w:r>
    </w:p>
    <w:p w:rsidR="00000000" w:rsidRPr="007B363F" w:rsidP="007B363F">
      <w:pPr>
        <w:pStyle w:val="ListBullet"/>
      </w:pPr>
      <w:r w:rsidRPr="007B363F">
        <w:t>identifying forklift equipment charac</w:t>
      </w:r>
      <w:r w:rsidRPr="007B363F">
        <w:t xml:space="preserve">teristics, technical capabilities and limitations </w:t>
      </w:r>
    </w:p>
    <w:p w:rsidR="00000000" w:rsidRPr="007B363F" w:rsidP="007B363F">
      <w:pPr>
        <w:pStyle w:val="ListBullet"/>
      </w:pPr>
      <w:r w:rsidRPr="007B363F">
        <w:t xml:space="preserve">following forklift operational procedures </w:t>
      </w:r>
    </w:p>
    <w:p w:rsidR="00000000" w:rsidRPr="007B363F" w:rsidP="007B363F">
      <w:pPr>
        <w:pStyle w:val="ListBullet"/>
      </w:pPr>
      <w:r w:rsidRPr="007B363F">
        <w:t xml:space="preserve">applying forklift maintenance systems and procedures </w:t>
      </w:r>
    </w:p>
    <w:p w:rsidR="00000000" w:rsidRPr="007B363F" w:rsidP="007B363F">
      <w:pPr>
        <w:pStyle w:val="ListBullet"/>
      </w:pPr>
      <w:r w:rsidRPr="007B363F">
        <w:t xml:space="preserve">applying basic geological and survey data related to forklift operations </w:t>
      </w:r>
    </w:p>
    <w:p w:rsidR="00000000" w:rsidRPr="007B363F" w:rsidP="007B363F">
      <w:pPr>
        <w:pStyle w:val="ListBullet"/>
      </w:pPr>
      <w:r w:rsidRPr="007B363F">
        <w:t>applying site environmental requirements and constraints related to forklift operations</w:t>
      </w:r>
    </w:p>
    <w:p w:rsidR="00000000" w:rsidRPr="007B363F" w:rsidP="007B363F">
      <w:pPr>
        <w:pStyle w:val="AllowPageBreak"/>
      </w:pPr>
    </w:p>
    <w:p w:rsidR="00000000" w:rsidRPr="007B363F" w:rsidP="007B363F">
      <w:pPr>
        <w:pStyle w:val="Heading1"/>
      </w:pPr>
      <w:bookmarkStart w:id="4" w:name="O_687864"/>
      <w:bookmarkEnd w:id="4"/>
      <w:r w:rsidRPr="007B363F">
        <w:t>Assessment Conditions</w:t>
      </w:r>
    </w:p>
    <w:p w:rsidR="00000000" w:rsidRPr="007B363F" w:rsidP="007B363F">
      <w:pPr>
        <w:pStyle w:val="ListBullet"/>
      </w:pPr>
      <w:r w:rsidRPr="007B363F">
        <w:t>An assessor of this unit must satisfy the requirements of the NVR/AQTF or their successors; and Industry regulations for certifi</w:t>
      </w:r>
      <w:r w:rsidRPr="007B363F">
        <w:t xml:space="preserve">cation and licensing; and, </w:t>
      </w:r>
    </w:p>
    <w:p w:rsidR="00000000" w:rsidRPr="007B363F" w:rsidP="007B363F">
      <w:pPr>
        <w:pStyle w:val="ListBullet"/>
      </w:pPr>
      <w:r w:rsidRPr="007B363F">
        <w:t>this unit is best assessed in the context of this sector’s work environment;</w:t>
      </w:r>
    </w:p>
    <w:p w:rsidR="00000000" w:rsidRPr="007B363F" w:rsidP="007B363F">
      <w:pPr>
        <w:pStyle w:val="ListBullet"/>
      </w:pPr>
      <w:r w:rsidRPr="007B363F">
        <w:t>where personal safety or environmental damage are limiting factors, assessment may occur in a simulated environment provided it is realistic and suffic</w:t>
      </w:r>
      <w:r w:rsidRPr="007B363F">
        <w:t>iently rigorous to cover all aspects of this sector’s workplace performance, including environment, task skills, task management skills, contingency management skills and job role environment skills; and,</w:t>
      </w:r>
    </w:p>
    <w:p w:rsidR="00000000" w:rsidRPr="007B363F" w:rsidP="007B363F">
      <w:pPr>
        <w:pStyle w:val="ListBullet"/>
      </w:pPr>
      <w:r w:rsidRPr="007B363F">
        <w:t>this unit must be assessed in compliance with relev</w:t>
      </w:r>
      <w:r w:rsidRPr="007B363F">
        <w:t>ant legislation/regulation and using policies, procedures, processes and operational manuals directly related to the industry sector for which it is being assessed; and,</w:t>
      </w:r>
    </w:p>
    <w:p w:rsidR="00000000" w:rsidRPr="007B363F" w:rsidP="007B363F">
      <w:pPr>
        <w:pStyle w:val="ListBullet"/>
      </w:pPr>
      <w:r w:rsidRPr="007B363F">
        <w:t>assessment may be conducted in conjunction with the assessment of other Units of Compe</w:t>
      </w:r>
      <w:r w:rsidRPr="007B363F">
        <w:t>tency; and,</w:t>
      </w:r>
    </w:p>
    <w:p w:rsidR="00000000" w:rsidRPr="007B363F" w:rsidP="007B363F">
      <w:pPr>
        <w:pStyle w:val="ListBullet"/>
      </w:pPr>
      <w:r w:rsidRPr="007B363F">
        <w:t>assessment must confirm consistent performance can be applied in a range of relevant workplace circumstances; and,</w:t>
      </w:r>
    </w:p>
    <w:p w:rsidR="00000000" w:rsidRPr="007B363F" w:rsidP="007B363F">
      <w:pPr>
        <w:pStyle w:val="ListBullet"/>
      </w:pPr>
      <w:r w:rsidRPr="007B363F">
        <w:t>assessors must demonstrate the performance evidence, and knowledge evidence as outlined in this Unit of Competency, and through t</w:t>
      </w:r>
      <w:r w:rsidRPr="007B363F">
        <w:t>he minimum years of current* work experience specified below in an Industry sector relevant to the outcomes of the unit; or,</w:t>
      </w:r>
    </w:p>
    <w:p w:rsidR="00000000" w:rsidRPr="007B363F" w:rsidP="007B363F">
      <w:pPr>
        <w:pStyle w:val="ListBullet"/>
      </w:pPr>
      <w:r w:rsidRPr="007B363F">
        <w:t>where the assessor does not meet experience requirements a co-assessment or partnership arrangement must exist between the qualifie</w:t>
      </w:r>
      <w:r w:rsidRPr="007B363F">
        <w:t>d assessor and an Industry subject matter expert. The Industry subject matter expert should hold the unit being assessed (or an equivalent unit) and/or demonstrate equivalence of skills and knowledge at the unit level. An Industry technical expert must als</w:t>
      </w:r>
      <w:r w:rsidRPr="007B363F">
        <w:t>o demonstrate skills and knowledge from the minimum years of current work experience specified below in the Industry sector, including time spent in roles related to the unit being assessed; and,</w:t>
      </w:r>
    </w:p>
    <w:p w:rsidR="00000000" w:rsidRPr="007B363F" w:rsidP="007B363F">
      <w:pPr>
        <w:pStyle w:val="ListBullet"/>
      </w:pPr>
      <w:r w:rsidRPr="007B363F">
        <w:t>assessor and Industry subject matter expert requirements dif</w:t>
      </w:r>
      <w:r w:rsidRPr="007B363F">
        <w:t>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B36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Required assessor or Industry subject matter expert experience</w:t>
            </w:r>
          </w:p>
        </w:tc>
      </w:tr>
      <w:tr w:rsidTr="007B36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1 Year</w:t>
            </w:r>
          </w:p>
        </w:tc>
      </w:tr>
      <w:tr w:rsidTr="007B36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2 Years</w:t>
            </w:r>
          </w:p>
        </w:tc>
      </w:tr>
      <w:tr w:rsidTr="007B36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3 Years</w:t>
            </w:r>
          </w:p>
        </w:tc>
      </w:tr>
      <w:tr w:rsidTr="007B36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5 Years</w:t>
            </w:r>
          </w:p>
        </w:tc>
      </w:tr>
      <w:tr w:rsidTr="007B36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63F">
            <w:pPr>
              <w:pStyle w:val="BodyText"/>
              <w:rPr>
                <w:lang w:val="en-NZ"/>
              </w:rPr>
            </w:pPr>
            <w:r w:rsidRPr="007B363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363F" w:rsidP="007B363F">
            <w:pPr>
              <w:pStyle w:val="BodyText"/>
            </w:pPr>
            <w:r w:rsidRPr="007B363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B363F">
              <w:t>ndard is specified should comply with any relevant regulation.</w:t>
            </w:r>
          </w:p>
        </w:tc>
      </w:tr>
    </w:tbl>
    <w:p w:rsidR="00000000" w:rsidRPr="007B363F" w:rsidP="007B363F">
      <w:pPr>
        <w:pStyle w:val="BodyText"/>
      </w:pPr>
      <w:r w:rsidRPr="007B363F">
        <w:t>*Assessors can demonstrate current work experience through employment within Industry in a role relevant to the outcomes of the Unit; or, for external assessors this can be demonstrated throu</w:t>
      </w:r>
      <w:r w:rsidRPr="007B363F">
        <w:t>gh exposure to Industry by conducting frequent site assessments across various locations.</w:t>
      </w:r>
    </w:p>
    <w:p w:rsidR="00000000" w:rsidRPr="007B363F" w:rsidP="007B363F">
      <w:pPr>
        <w:pStyle w:val="BodyText"/>
      </w:pPr>
      <w:r w:rsidRPr="007B363F">
        <w:t>**Where a unit is being delivered outside of a Qualification the first numeric character in the Unit code should be considered to indicate the AQF level</w:t>
      </w:r>
    </w:p>
    <w:p w:rsidR="00000000" w:rsidRPr="007B363F" w:rsidP="007B363F">
      <w:pPr>
        <w:pStyle w:val="AllowPageBreak"/>
      </w:pPr>
    </w:p>
    <w:p w:rsidR="00000000" w:rsidRPr="007B363F" w:rsidP="007B363F">
      <w:pPr>
        <w:pStyle w:val="Heading1"/>
      </w:pPr>
      <w:bookmarkStart w:id="5" w:name="O_687875"/>
      <w:bookmarkEnd w:id="5"/>
      <w:r w:rsidRPr="007B363F">
        <w:t>Links</w:t>
      </w:r>
    </w:p>
    <w:p w:rsidR="00000000" w:rsidRPr="007B363F" w:rsidP="007B363F">
      <w:pPr>
        <w:pStyle w:val="BodyText"/>
      </w:pPr>
      <w:r w:rsidRPr="007B363F">
        <w:t>SkillsDMC RII Companion Volumes - http://www.skillsdmc.com.au/</w:t>
      </w:r>
    </w:p>
    <w:p w:rsidR="00000000" w:rsidRPr="007B363F" w:rsidP="007B363F"/>
    <w:sectPr w:rsidSect="007B3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3F" w:rsidRPr="00414F3E" w:rsidP="00414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F3E" w:rsidP="007B3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F3E" w:rsidP="007B3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14F3E" w:rsidP="007B3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3F" w:rsidRPr="00414F3E" w:rsidP="00414F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F3E" w:rsidRPr="002D2AF8" w:rsidP="007B3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RIIHAN201D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414F3E" w:rsidP="007B3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E6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6AC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0C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63F"/>
  </w:style>
  <w:style w:type="character" w:customStyle="1" w:styleId="Heading1Char">
    <w:name w:val="Heading 1 Char"/>
    <w:basedOn w:val="DefaultParagraphFont"/>
    <w:link w:val="Heading1"/>
    <w:rsid w:val="007B3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6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63F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63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36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3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63F"/>
    <w:rPr>
      <w:b/>
      <w:spacing w:val="0"/>
    </w:rPr>
  </w:style>
  <w:style w:type="paragraph" w:customStyle="1" w:styleId="SuperTitle">
    <w:name w:val="SuperTitle"/>
    <w:basedOn w:val="Title"/>
    <w:rsid w:val="007B3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63F"/>
    <w:rPr>
      <w:i/>
    </w:rPr>
  </w:style>
  <w:style w:type="paragraph" w:styleId="Caption">
    <w:name w:val="caption"/>
    <w:basedOn w:val="BodyText"/>
    <w:next w:val="Normal"/>
    <w:qFormat/>
    <w:rsid w:val="007B3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63F"/>
  </w:style>
  <w:style w:type="paragraph" w:styleId="TableofFigures">
    <w:name w:val="table of figures"/>
    <w:basedOn w:val="Normal"/>
    <w:next w:val="Normal"/>
    <w:semiHidden/>
    <w:rsid w:val="007B3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63F"/>
    <w:pPr>
      <w:numPr>
        <w:numId w:val="12"/>
      </w:numPr>
    </w:pPr>
  </w:style>
  <w:style w:type="character" w:customStyle="1" w:styleId="WingdingSymbols">
    <w:name w:val="Wingding Symbols"/>
    <w:rsid w:val="007B363F"/>
    <w:rPr>
      <w:rFonts w:ascii="Wingdings" w:hAnsi="Wingdings"/>
    </w:rPr>
  </w:style>
  <w:style w:type="paragraph" w:customStyle="1" w:styleId="TableHeading">
    <w:name w:val="Table Heading"/>
    <w:basedOn w:val="HeadingBase"/>
    <w:rsid w:val="007B3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63F"/>
    <w:rPr>
      <w:color w:val="0033CC"/>
      <w:u w:val="none"/>
    </w:rPr>
  </w:style>
  <w:style w:type="paragraph" w:customStyle="1" w:styleId="BodyTextRight">
    <w:name w:val="Body Text Right"/>
    <w:basedOn w:val="BodyText"/>
    <w:rsid w:val="007B3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6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63F"/>
    <w:rPr>
      <w:sz w:val="32"/>
    </w:rPr>
  </w:style>
  <w:style w:type="paragraph" w:customStyle="1" w:styleId="HeadingProcedure">
    <w:name w:val="Heading Procedure"/>
    <w:basedOn w:val="HeadingBase"/>
    <w:next w:val="Normal"/>
    <w:rsid w:val="007B3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63F"/>
    <w:pPr>
      <w:spacing w:before="60" w:after="60"/>
    </w:pPr>
  </w:style>
  <w:style w:type="paragraph" w:styleId="ListContinue">
    <w:name w:val="List Continue"/>
    <w:basedOn w:val="List"/>
    <w:rsid w:val="007B363F"/>
    <w:pPr>
      <w:ind w:firstLine="0"/>
    </w:pPr>
  </w:style>
  <w:style w:type="paragraph" w:customStyle="1" w:styleId="ListNote">
    <w:name w:val="List Note"/>
    <w:basedOn w:val="List"/>
    <w:rsid w:val="007B3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63F"/>
    <w:rPr>
      <w:rFonts w:ascii="Courier New" w:hAnsi="Courier New"/>
    </w:rPr>
  </w:style>
  <w:style w:type="paragraph" w:customStyle="1" w:styleId="NoteBullet">
    <w:name w:val="Note Bullet"/>
    <w:basedOn w:val="Note"/>
    <w:rsid w:val="007B3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63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B3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63F"/>
    <w:rPr>
      <w:b/>
      <w:smallCaps/>
    </w:rPr>
  </w:style>
  <w:style w:type="paragraph" w:customStyle="1" w:styleId="TableListNumber">
    <w:name w:val="Table List Number"/>
    <w:basedOn w:val="ListNumber"/>
    <w:rsid w:val="007B3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63F"/>
    <w:pPr>
      <w:numPr>
        <w:numId w:val="10"/>
      </w:numPr>
    </w:pPr>
  </w:style>
  <w:style w:type="paragraph" w:customStyle="1" w:styleId="ListAlpha2">
    <w:name w:val="List Alpha 2"/>
    <w:basedOn w:val="List2"/>
    <w:rsid w:val="007B363F"/>
    <w:pPr>
      <w:numPr>
        <w:numId w:val="9"/>
      </w:numPr>
    </w:pPr>
  </w:style>
  <w:style w:type="paragraph" w:styleId="List2">
    <w:name w:val="List 2"/>
    <w:basedOn w:val="BodyText"/>
    <w:rsid w:val="007B3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6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36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363F"/>
    <w:pPr>
      <w:numPr>
        <w:numId w:val="5"/>
      </w:numPr>
    </w:pPr>
  </w:style>
  <w:style w:type="paragraph" w:styleId="ListContinue2">
    <w:name w:val="List Continue 2"/>
    <w:basedOn w:val="List2"/>
    <w:rsid w:val="007B363F"/>
    <w:pPr>
      <w:ind w:firstLine="0"/>
    </w:pPr>
  </w:style>
  <w:style w:type="paragraph" w:styleId="ListContinue3">
    <w:name w:val="List Continue 3"/>
    <w:basedOn w:val="List3"/>
    <w:rsid w:val="007B363F"/>
    <w:pPr>
      <w:ind w:left="1021" w:firstLine="0"/>
    </w:pPr>
  </w:style>
  <w:style w:type="paragraph" w:styleId="ListContinue4">
    <w:name w:val="List Continue 4"/>
    <w:basedOn w:val="List4"/>
    <w:rsid w:val="007B363F"/>
    <w:pPr>
      <w:ind w:firstLine="0"/>
    </w:pPr>
  </w:style>
  <w:style w:type="paragraph" w:styleId="ListContinue5">
    <w:name w:val="List Continue 5"/>
    <w:basedOn w:val="List5"/>
    <w:rsid w:val="007B363F"/>
    <w:pPr>
      <w:ind w:firstLine="0"/>
    </w:pPr>
  </w:style>
  <w:style w:type="paragraph" w:styleId="ListNumber3">
    <w:name w:val="List Number 3"/>
    <w:basedOn w:val="List3"/>
    <w:rsid w:val="007B363F"/>
    <w:pPr>
      <w:numPr>
        <w:numId w:val="6"/>
      </w:numPr>
    </w:pPr>
  </w:style>
  <w:style w:type="paragraph" w:styleId="ListNumber4">
    <w:name w:val="List Number 4"/>
    <w:basedOn w:val="List4"/>
    <w:rsid w:val="007B363F"/>
    <w:pPr>
      <w:numPr>
        <w:numId w:val="7"/>
      </w:numPr>
    </w:pPr>
  </w:style>
  <w:style w:type="paragraph" w:styleId="ListNumber5">
    <w:name w:val="List Number 5"/>
    <w:basedOn w:val="List5"/>
    <w:rsid w:val="007B363F"/>
    <w:pPr>
      <w:numPr>
        <w:numId w:val="8"/>
      </w:numPr>
    </w:pPr>
  </w:style>
  <w:style w:type="paragraph" w:styleId="BlockText">
    <w:name w:val="Block Text"/>
    <w:basedOn w:val="Normal"/>
    <w:rsid w:val="007B3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63F"/>
    <w:rPr>
      <w:sz w:val="16"/>
      <w:vertAlign w:val="superscript"/>
    </w:rPr>
  </w:style>
  <w:style w:type="character" w:customStyle="1" w:styleId="Symbols">
    <w:name w:val="Symbols"/>
    <w:basedOn w:val="DefaultParagraphFont"/>
    <w:rsid w:val="007B363F"/>
    <w:rPr>
      <w:rFonts w:ascii="Symbol" w:hAnsi="Symbol"/>
    </w:rPr>
  </w:style>
  <w:style w:type="character" w:customStyle="1" w:styleId="MenuOptions">
    <w:name w:val="Menu Options"/>
    <w:basedOn w:val="DefaultParagraphFont"/>
    <w:rsid w:val="007B3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63F"/>
    <w:rPr>
      <w:b/>
    </w:rPr>
  </w:style>
  <w:style w:type="character" w:customStyle="1" w:styleId="Underlined">
    <w:name w:val="Underlined"/>
    <w:basedOn w:val="DefaultParagraphFont"/>
    <w:rsid w:val="007B363F"/>
    <w:rPr>
      <w:u w:val="single"/>
    </w:rPr>
  </w:style>
  <w:style w:type="paragraph" w:customStyle="1" w:styleId="TableBodyTextRight">
    <w:name w:val="Table Body Text Right"/>
    <w:basedOn w:val="TableBodyText"/>
    <w:rsid w:val="007B3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63F"/>
    <w:rPr>
      <w:sz w:val="18"/>
    </w:rPr>
  </w:style>
  <w:style w:type="paragraph" w:customStyle="1" w:styleId="BodySmallRight">
    <w:name w:val="Body Small Right"/>
    <w:basedOn w:val="BodyTextRight"/>
    <w:rsid w:val="007B363F"/>
    <w:rPr>
      <w:sz w:val="18"/>
      <w:szCs w:val="18"/>
    </w:rPr>
  </w:style>
  <w:style w:type="paragraph" w:customStyle="1" w:styleId="MarginEdition">
    <w:name w:val="Margin Edition"/>
    <w:basedOn w:val="MarginNote"/>
    <w:rsid w:val="007B3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63F"/>
    <w:rPr>
      <w:sz w:val="2"/>
      <w:szCs w:val="2"/>
    </w:rPr>
  </w:style>
  <w:style w:type="character" w:customStyle="1" w:styleId="Small">
    <w:name w:val="Small"/>
    <w:basedOn w:val="DefaultParagraphFont"/>
    <w:rsid w:val="007B363F"/>
    <w:rPr>
      <w:sz w:val="16"/>
    </w:rPr>
  </w:style>
  <w:style w:type="paragraph" w:customStyle="1" w:styleId="WideTable">
    <w:name w:val="Wide Table"/>
    <w:basedOn w:val="Normal"/>
    <w:rsid w:val="007B3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63F"/>
  </w:style>
  <w:style w:type="paragraph" w:styleId="Quote">
    <w:name w:val="Quote"/>
    <w:basedOn w:val="Heading1"/>
    <w:link w:val="QuoteChar"/>
    <w:qFormat/>
    <w:rsid w:val="007B3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63F"/>
    <w:pPr>
      <w:pageBreakBefore/>
    </w:pPr>
  </w:style>
  <w:style w:type="paragraph" w:customStyle="1" w:styleId="Border">
    <w:name w:val="Border"/>
    <w:basedOn w:val="Normal"/>
    <w:qFormat/>
    <w:rsid w:val="007B3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63F"/>
    <w:rPr>
      <w:u w:val="single"/>
    </w:rPr>
  </w:style>
  <w:style w:type="character" w:customStyle="1" w:styleId="BoldandItalics">
    <w:name w:val="Bold and Italics"/>
    <w:qFormat/>
    <w:rsid w:val="007B363F"/>
    <w:rPr>
      <w:b/>
      <w:i/>
      <w:u w:val="none"/>
    </w:rPr>
  </w:style>
  <w:style w:type="paragraph" w:styleId="BalloonText">
    <w:name w:val="Balloon Text"/>
    <w:basedOn w:val="Normal"/>
    <w:link w:val="BalloonTextChar"/>
    <w:rsid w:val="007B3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6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6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4824</Characters>
  <Application>Microsoft Office Word</Application>
  <DocSecurity>0</DocSecurity>
  <Lines>122</Lines>
  <Paragraphs>66</Paragraphs>
  <ScaleCrop>false</ScaleCrop>
  <Company>Author-it Software Corporation Ltd.</Company>
  <LinksUpToDate>false</LinksUpToDate>
  <CharactersWithSpaces>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RIIHAN201D Operate a forklift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2015-12-14T08:10:00Z</dcterms:created>
  <dcterms:modified xsi:type="dcterms:W3CDTF">2015-12-14T08:10:00Z</dcterms:modified>
</cp:coreProperties>
</file>