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709" w:rsidP="003F2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RIIGOV401D Apply, monitor and report on compliance systems</w:t>
      </w:r>
      <w:r>
        <w:fldChar w:fldCharType="end"/>
      </w:r>
    </w:p>
    <w:p w:rsidR="003F2709" w:rsidP="003F2709">
      <w:pPr>
        <w:pStyle w:val="Version"/>
        <w:sectPr w:rsidSect="00733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3ED4" w:rsidP="00733ED4">
      <w:pPr>
        <w:pStyle w:val="SuperHeading"/>
      </w:pPr>
      <w:r w:rsidRPr="00733ED4">
        <w:t>Assessment Requirements for RIIGOV401D Apply, monitor and report on compliance systems</w:t>
      </w:r>
    </w:p>
    <w:p w:rsidR="00000000" w:rsidRPr="00733ED4" w:rsidP="00733ED4">
      <w:pPr>
        <w:pStyle w:val="Heading1"/>
      </w:pPr>
      <w:bookmarkStart w:id="1" w:name="O_687778"/>
      <w:bookmarkEnd w:id="1"/>
      <w:r w:rsidRPr="00733ED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F270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Comment</w:t>
            </w:r>
          </w:p>
        </w:tc>
      </w:tr>
      <w:tr w:rsidTr="003F270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This unit replaces RIIGOV401B Apply, monitor and report on compliance systems</w:t>
            </w:r>
          </w:p>
        </w:tc>
      </w:tr>
      <w:tr w:rsidTr="003F270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D4" w:rsidP="00733ED4">
            <w:pPr>
              <w:pStyle w:val="BodyText"/>
            </w:pPr>
            <w:r w:rsidRPr="00733ED4">
              <w:t>Required frequency and volume of evidence amended in Performance evidence.</w:t>
            </w:r>
          </w:p>
          <w:p w:rsidR="00000000" w:rsidRPr="00733ED4" w:rsidP="00733ED4">
            <w:pPr>
              <w:pStyle w:val="BodyText"/>
            </w:pPr>
            <w:r w:rsidRPr="00733ED4">
              <w:t>Substantial amendments made in Assessment Conditions field, including: references to Industry Sectors, assessor and subject matter expert experience requirements, how assessment sho</w:t>
            </w:r>
            <w:r w:rsidRPr="00733ED4">
              <w:t>uld be conducted and what it should confirm.</w:t>
            </w:r>
          </w:p>
        </w:tc>
      </w:tr>
    </w:tbl>
    <w:p w:rsidR="00000000" w:rsidRPr="00733ED4" w:rsidP="00733ED4">
      <w:pPr>
        <w:pStyle w:val="BodyText"/>
      </w:pPr>
    </w:p>
    <w:p w:rsidR="00000000" w:rsidRPr="00733ED4" w:rsidP="00733ED4">
      <w:pPr>
        <w:pStyle w:val="AllowPageBreak"/>
      </w:pPr>
    </w:p>
    <w:p w:rsidR="00000000" w:rsidRPr="00733ED4" w:rsidP="00733ED4">
      <w:pPr>
        <w:pStyle w:val="Heading1"/>
      </w:pPr>
      <w:bookmarkStart w:id="2" w:name="O_687777"/>
      <w:bookmarkEnd w:id="2"/>
      <w:r w:rsidRPr="00733ED4">
        <w:t>Performance Evidence</w:t>
      </w:r>
    </w:p>
    <w:p w:rsidR="00000000" w:rsidRPr="00733ED4" w:rsidP="003F2709">
      <w:pPr>
        <w:pStyle w:val="BodyText"/>
      </w:pPr>
      <w:r w:rsidRPr="00733ED4">
        <w:t>Evidence is required to be collected that demonstrates a candidate’s competency in this unit. Evidence must be relevant to the roles within this sector’s work operations a</w:t>
      </w:r>
      <w:r w:rsidRPr="00733ED4">
        <w:t>nd satisfy all of the requirements of the performance criteria of this unit and include evidence that the candidate:</w:t>
      </w:r>
    </w:p>
    <w:p w:rsidR="00000000" w:rsidRPr="00733ED4" w:rsidP="00733ED4">
      <w:pPr>
        <w:pStyle w:val="ListBullet"/>
      </w:pPr>
      <w:r w:rsidRPr="00733ED4">
        <w:t xml:space="preserve">locates and applies relevant legislation, documentation, policies and procedures </w:t>
      </w:r>
    </w:p>
    <w:p w:rsidR="00000000" w:rsidRPr="00733ED4" w:rsidP="00733ED4">
      <w:pPr>
        <w:pStyle w:val="ListBullet"/>
      </w:pPr>
      <w:r w:rsidRPr="00733ED4">
        <w:t>demonstrates completion of applying</w:t>
      </w:r>
      <w:r w:rsidRPr="00733ED4">
        <w:t>, monitoring and reporting on compliance systems that safely, effectively and efficiently meets all of the required outcomes on more than one (1) occasion including:</w:t>
      </w:r>
    </w:p>
    <w:p w:rsidR="00000000" w:rsidRPr="00733ED4" w:rsidP="00733ED4">
      <w:pPr>
        <w:pStyle w:val="ListBullet2"/>
      </w:pPr>
      <w:r w:rsidRPr="00733ED4">
        <w:t>routinely reviewing work practice to identify and define problems to systems of work</w:t>
      </w:r>
    </w:p>
    <w:p w:rsidR="00000000" w:rsidRPr="00733ED4" w:rsidP="00733ED4">
      <w:pPr>
        <w:pStyle w:val="ListBullet2"/>
      </w:pPr>
      <w:r w:rsidRPr="00733ED4">
        <w:t>adju</w:t>
      </w:r>
      <w:r w:rsidRPr="00733ED4">
        <w:t>sting systems of work to minimise risk, increase productivity and meets contractual obligations</w:t>
      </w:r>
    </w:p>
    <w:p w:rsidR="00000000" w:rsidRPr="00733ED4" w:rsidP="00733ED4">
      <w:pPr>
        <w:pStyle w:val="ListBullet2"/>
      </w:pPr>
      <w:r w:rsidRPr="00733ED4">
        <w:t>prioritising others and work practice to meet contractual and compliance obligations</w:t>
      </w:r>
    </w:p>
    <w:p w:rsidR="00000000" w:rsidRPr="00733ED4" w:rsidP="00733ED4">
      <w:pPr>
        <w:pStyle w:val="ListBullet2"/>
      </w:pPr>
      <w:r w:rsidRPr="00733ED4">
        <w:t>providing coaching, information and support to others to maintain the stand</w:t>
      </w:r>
      <w:r w:rsidRPr="00733ED4">
        <w:t>ards compliance</w:t>
      </w:r>
    </w:p>
    <w:p w:rsidR="00000000" w:rsidRPr="00733ED4" w:rsidP="00733ED4">
      <w:pPr>
        <w:pStyle w:val="ListBullet2"/>
      </w:pPr>
      <w:r w:rsidRPr="00733ED4">
        <w:t>establishing training programs for others to improve or develop practice for systems of work</w:t>
      </w:r>
    </w:p>
    <w:p w:rsidR="00000000" w:rsidRPr="00733ED4" w:rsidP="00733ED4">
      <w:pPr>
        <w:pStyle w:val="ListBullet2"/>
      </w:pPr>
      <w:r w:rsidRPr="00733ED4">
        <w:t>providing verbal feedback to others in carrying out their work practice</w:t>
      </w:r>
    </w:p>
    <w:p w:rsidR="00000000" w:rsidRPr="00733ED4" w:rsidP="00733ED4">
      <w:pPr>
        <w:pStyle w:val="ListBullet2"/>
      </w:pPr>
      <w:r w:rsidRPr="00733ED4">
        <w:t xml:space="preserve">establishing performance management programs for others who are struggling </w:t>
      </w:r>
      <w:r w:rsidRPr="00733ED4">
        <w:t>to meet compliance</w:t>
      </w:r>
    </w:p>
    <w:p w:rsidR="00000000" w:rsidRPr="00733ED4" w:rsidP="00733ED4">
      <w:pPr>
        <w:pStyle w:val="ListBullet2"/>
      </w:pPr>
      <w:r w:rsidRPr="00733ED4">
        <w:t>maintaining written records and reports for system of work activity, contract obligations, personnel and noncompliance</w:t>
      </w:r>
    </w:p>
    <w:p w:rsidR="00000000" w:rsidRPr="00733ED4" w:rsidP="00733ED4">
      <w:pPr>
        <w:pStyle w:val="AllowPageBreak"/>
      </w:pPr>
    </w:p>
    <w:p w:rsidR="00000000" w:rsidRPr="00733ED4" w:rsidP="00733ED4">
      <w:pPr>
        <w:pStyle w:val="Heading1"/>
      </w:pPr>
      <w:bookmarkStart w:id="3" w:name="O_687776"/>
      <w:bookmarkEnd w:id="3"/>
      <w:r w:rsidRPr="00733ED4">
        <w:t>Knowledge Evidence</w:t>
      </w:r>
    </w:p>
    <w:p w:rsidR="00000000" w:rsidRPr="00733ED4" w:rsidP="003F2709">
      <w:pPr>
        <w:pStyle w:val="BodyText"/>
      </w:pPr>
      <w:r w:rsidRPr="00733ED4">
        <w:t>The candidate must demonstrate knowledge of apply, monitor and report on complianc</w:t>
      </w:r>
      <w:r w:rsidRPr="00733ED4">
        <w:t>e systems through:</w:t>
      </w:r>
    </w:p>
    <w:p w:rsidR="00000000" w:rsidRPr="00733ED4" w:rsidP="00733ED4">
      <w:pPr>
        <w:pStyle w:val="ListBullet"/>
      </w:pPr>
      <w:r w:rsidRPr="00733ED4">
        <w:t>relevant taxation and related legislative requirements and legal rights and responsibilities related to the business</w:t>
      </w:r>
    </w:p>
    <w:p w:rsidR="00000000" w:rsidRPr="00733ED4" w:rsidP="00733ED4">
      <w:pPr>
        <w:pStyle w:val="ListBullet"/>
      </w:pPr>
      <w:r w:rsidRPr="00733ED4">
        <w:t>bookkeeping and record keeping procedures to meet minimum financial and legal requirements</w:t>
      </w:r>
    </w:p>
    <w:p w:rsidR="00000000" w:rsidRPr="00733ED4" w:rsidP="00733ED4">
      <w:pPr>
        <w:pStyle w:val="ListBullet"/>
      </w:pPr>
      <w:r w:rsidRPr="00733ED4">
        <w:t>industria</w:t>
      </w:r>
      <w:r w:rsidRPr="00733ED4">
        <w:t>l law relevant to performance management, recruitment and dismissal of employees</w:t>
      </w:r>
    </w:p>
    <w:p w:rsidR="00000000" w:rsidRPr="00733ED4" w:rsidP="00733ED4">
      <w:pPr>
        <w:pStyle w:val="ListBullet"/>
      </w:pPr>
      <w:r w:rsidRPr="00733ED4">
        <w:t>creation and termination of relevant legal contracts</w:t>
      </w:r>
    </w:p>
    <w:p w:rsidR="00000000" w:rsidRPr="00733ED4" w:rsidP="00733ED4">
      <w:pPr>
        <w:pStyle w:val="ListBullet"/>
      </w:pPr>
      <w:r w:rsidRPr="00733ED4">
        <w:t>duty of care imposed by the Law of Torts</w:t>
      </w:r>
    </w:p>
    <w:p w:rsidR="00000000" w:rsidRPr="00733ED4" w:rsidP="00733ED4">
      <w:pPr>
        <w:pStyle w:val="ListBullet"/>
      </w:pPr>
      <w:r w:rsidRPr="00733ED4">
        <w:t>work procedure/instruction writing in compliance with legal requirements and comp</w:t>
      </w:r>
      <w:r w:rsidRPr="00733ED4">
        <w:t>any policy</w:t>
      </w:r>
    </w:p>
    <w:p w:rsidR="00000000" w:rsidRPr="00733ED4" w:rsidP="00733ED4">
      <w:pPr>
        <w:pStyle w:val="AllowPageBreak"/>
      </w:pPr>
    </w:p>
    <w:p w:rsidR="00000000" w:rsidRPr="00733ED4" w:rsidP="00733ED4">
      <w:pPr>
        <w:pStyle w:val="Heading1"/>
      </w:pPr>
      <w:bookmarkStart w:id="4" w:name="O_687775"/>
      <w:bookmarkEnd w:id="4"/>
      <w:r w:rsidRPr="00733ED4">
        <w:t>Assessment Conditions</w:t>
      </w:r>
    </w:p>
    <w:p w:rsidR="00000000" w:rsidRPr="00733ED4" w:rsidP="00733ED4">
      <w:pPr>
        <w:pStyle w:val="ListBullet"/>
      </w:pPr>
      <w:r w:rsidRPr="00733ED4">
        <w:t xml:space="preserve">An assessor of this unit must satisfy the requirements of the NVR/AQTF or their successors; and Industry regulations for certification and licensing; and, </w:t>
      </w:r>
    </w:p>
    <w:p w:rsidR="00000000" w:rsidRPr="00733ED4" w:rsidP="00733ED4">
      <w:pPr>
        <w:pStyle w:val="ListBullet"/>
      </w:pPr>
      <w:r w:rsidRPr="00733ED4">
        <w:t>this unit is best assessed in the context of this</w:t>
      </w:r>
      <w:r w:rsidRPr="00733ED4">
        <w:t xml:space="preserve"> sector’s work environment;</w:t>
      </w:r>
    </w:p>
    <w:p w:rsidR="00000000" w:rsidRPr="00733ED4" w:rsidP="00733ED4">
      <w:pPr>
        <w:pStyle w:val="ListBullet"/>
      </w:pPr>
      <w:r w:rsidRPr="00733ED4">
        <w:t xml:space="preserve">where personal safety or environmental damage are limiting factors, assessment may occur in a simulated environment provided it is realistic and sufficiently rigorous to cover all aspects of this sector’s workplace performance, </w:t>
      </w:r>
      <w:r w:rsidRPr="00733ED4">
        <w:t>including environment, task skills, task management skills, contingency management skills and job role environment skills; and,</w:t>
      </w:r>
    </w:p>
    <w:p w:rsidR="00000000" w:rsidRPr="00733ED4" w:rsidP="00733ED4">
      <w:pPr>
        <w:pStyle w:val="ListBullet"/>
      </w:pPr>
      <w:r w:rsidRPr="00733ED4">
        <w:t>this unit must be assessed in compliance with relevant legislation/regulation and using policies, procedures, processes and oper</w:t>
      </w:r>
      <w:r w:rsidRPr="00733ED4">
        <w:t>ational manuals directly related to the industry sector for which it is being assessed; and,</w:t>
      </w:r>
    </w:p>
    <w:p w:rsidR="00000000" w:rsidRPr="00733ED4" w:rsidP="00733ED4">
      <w:pPr>
        <w:pStyle w:val="ListBullet"/>
      </w:pPr>
      <w:r w:rsidRPr="00733ED4">
        <w:t>assessment may be conducted in conjunction with the assessment of other Units of Competency; and,</w:t>
      </w:r>
    </w:p>
    <w:p w:rsidR="00000000" w:rsidRPr="00733ED4" w:rsidP="00733ED4">
      <w:pPr>
        <w:pStyle w:val="ListBullet"/>
      </w:pPr>
      <w:r w:rsidRPr="00733ED4">
        <w:t xml:space="preserve">assessment must confirm consistent performance can be applied in </w:t>
      </w:r>
      <w:r w:rsidRPr="00733ED4">
        <w:t>a range of relevant workplace circumstances; and,</w:t>
      </w:r>
    </w:p>
    <w:p w:rsidR="00000000" w:rsidRPr="00733ED4" w:rsidP="00733ED4">
      <w:pPr>
        <w:pStyle w:val="ListBullet"/>
      </w:pPr>
      <w:r w:rsidRPr="00733ED4">
        <w:t>assessors must demonstrate the performance evidence, and knowledge evidence as outlined in this Unit of Competency, and through the minimum years of current* work experience specified below in an Industry s</w:t>
      </w:r>
      <w:r w:rsidRPr="00733ED4">
        <w:t>ector relevant to the outcomes of the unit; or,</w:t>
      </w:r>
    </w:p>
    <w:p w:rsidR="00000000" w:rsidRPr="00733ED4" w:rsidP="00733ED4">
      <w:pPr>
        <w:pStyle w:val="ListBullet"/>
      </w:pPr>
      <w:r w:rsidRPr="00733ED4">
        <w:t>where the assessor does not meet experience requirements a co-assessment or partnership arrangement must exist between the qualified assessor and an Industry subject matter expert. The Industry subject matter</w:t>
      </w:r>
      <w:r w:rsidRPr="00733ED4">
        <w:t xml:space="preserve"> expert should hold the unit being assessed (or an equivalent unit) and/or demonstrate equivalence of skills and knowledge at the unit level. An Industry technical expert must also demonstrate skills and knowledge from the minimum years of current work exp</w:t>
      </w:r>
      <w:r w:rsidRPr="00733ED4">
        <w:t>erience specified below in the Industry sector, including time spent in roles related to the unit being assessed; and,</w:t>
      </w:r>
    </w:p>
    <w:p w:rsidR="00000000" w:rsidRPr="00733ED4" w:rsidP="00733ED4">
      <w:pPr>
        <w:pStyle w:val="ListBullet"/>
      </w:pPr>
      <w:r w:rsidRPr="00733ED4">
        <w:t>assessor and Industry subject matter expert requirements differ depending on the Australian Qualifications Framework Level (AQF) of the q</w:t>
      </w:r>
      <w:r w:rsidRPr="00733ED4">
        <w:t>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33E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 xml:space="preserve">Required assessor or Industry </w:t>
            </w:r>
            <w:r w:rsidRPr="00733ED4">
              <w:t>subject matter expert experience</w:t>
            </w:r>
          </w:p>
        </w:tc>
      </w:tr>
      <w:tr w:rsidTr="00733E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1 Year</w:t>
            </w:r>
          </w:p>
        </w:tc>
      </w:tr>
      <w:tr w:rsidTr="00733E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2 Years</w:t>
            </w:r>
          </w:p>
        </w:tc>
      </w:tr>
      <w:tr w:rsidTr="00733E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3 Years</w:t>
            </w:r>
          </w:p>
        </w:tc>
      </w:tr>
      <w:tr w:rsidTr="00733E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5 Years</w:t>
            </w:r>
          </w:p>
        </w:tc>
      </w:tr>
      <w:tr w:rsidTr="00733ED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ED4">
            <w:pPr>
              <w:pStyle w:val="BodyText"/>
              <w:rPr>
                <w:lang w:val="en-NZ"/>
              </w:rPr>
            </w:pPr>
            <w:r w:rsidRPr="00733ED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3ED4" w:rsidP="00733ED4">
            <w:pPr>
              <w:pStyle w:val="BodyText"/>
            </w:pPr>
            <w:r w:rsidRPr="00733ED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33ED4">
              <w:t>ndard is specified should comply with any relevant regulation.</w:t>
            </w:r>
          </w:p>
        </w:tc>
      </w:tr>
    </w:tbl>
    <w:p w:rsidR="00000000" w:rsidRPr="00733ED4" w:rsidP="003F2709">
      <w:pPr>
        <w:pStyle w:val="BodyText"/>
      </w:pPr>
      <w:r w:rsidRPr="00733ED4">
        <w:t>*Assessors can demonstrate current work experience through employment within Industry in a role relevant to the outcomes of the Unit; or, for external assessors this can be demonstrated throu</w:t>
      </w:r>
      <w:r w:rsidRPr="00733ED4">
        <w:t>gh exposure to Industry by conducting frequent site assessments across various locations.</w:t>
      </w:r>
    </w:p>
    <w:p w:rsidR="00000000" w:rsidRPr="00733ED4" w:rsidP="003F2709">
      <w:pPr>
        <w:pStyle w:val="BodyText"/>
      </w:pPr>
      <w:r w:rsidRPr="00733ED4">
        <w:t>**Where a unit is being delivered outside of a Qualification the first numeric character in the Unit code should be considered to indicate the AQF level</w:t>
      </w:r>
    </w:p>
    <w:p w:rsidR="00000000" w:rsidRPr="00733ED4" w:rsidP="00733ED4">
      <w:pPr>
        <w:pStyle w:val="Heading1"/>
      </w:pPr>
      <w:bookmarkStart w:id="5" w:name="O_687788"/>
      <w:bookmarkEnd w:id="5"/>
      <w:r w:rsidRPr="00733ED4">
        <w:t>Links</w:t>
      </w:r>
    </w:p>
    <w:p w:rsidR="00000000" w:rsidRPr="00733ED4" w:rsidP="003F2709">
      <w:pPr>
        <w:pStyle w:val="BodyText"/>
      </w:pPr>
      <w:r w:rsidRPr="00733E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536C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33ED4" w:rsidP="00733ED4"/>
    <w:sectPr w:rsidSect="00733E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D4" w:rsidRPr="003F2709" w:rsidP="003F2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09" w:rsidP="00733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709" w:rsidP="00733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2709" w:rsidP="00733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ED4" w:rsidRPr="003F2709" w:rsidP="003F2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09" w:rsidRPr="002D2AF8" w:rsidP="00733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RIIGOV401D Apply, monitor and report on compliance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3F2709" w:rsidP="00733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5A8B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881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146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ED4"/>
  </w:style>
  <w:style w:type="character" w:customStyle="1" w:styleId="Heading1Char">
    <w:name w:val="Heading 1 Char"/>
    <w:basedOn w:val="DefaultParagraphFont"/>
    <w:link w:val="Heading1"/>
    <w:rsid w:val="00733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E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E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3E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E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3ED4"/>
    <w:rPr>
      <w:b/>
      <w:spacing w:val="0"/>
    </w:rPr>
  </w:style>
  <w:style w:type="paragraph" w:customStyle="1" w:styleId="SuperTitle">
    <w:name w:val="SuperTitle"/>
    <w:basedOn w:val="Title"/>
    <w:rsid w:val="00733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E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ED4"/>
    <w:rPr>
      <w:i/>
    </w:rPr>
  </w:style>
  <w:style w:type="paragraph" w:styleId="Caption">
    <w:name w:val="caption"/>
    <w:basedOn w:val="BodyText"/>
    <w:next w:val="Normal"/>
    <w:qFormat/>
    <w:rsid w:val="00733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ED4"/>
  </w:style>
  <w:style w:type="paragraph" w:styleId="TableofFigures">
    <w:name w:val="table of figures"/>
    <w:basedOn w:val="Normal"/>
    <w:next w:val="Normal"/>
    <w:semiHidden/>
    <w:rsid w:val="00733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E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ED4"/>
    <w:rPr>
      <w:rFonts w:ascii="Wingdings" w:hAnsi="Wingdings"/>
    </w:rPr>
  </w:style>
  <w:style w:type="paragraph" w:customStyle="1" w:styleId="TableHeading">
    <w:name w:val="Table Heading"/>
    <w:basedOn w:val="HeadingBase"/>
    <w:rsid w:val="00733E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ED4"/>
    <w:rPr>
      <w:color w:val="0033CC"/>
      <w:u w:val="none"/>
    </w:rPr>
  </w:style>
  <w:style w:type="paragraph" w:customStyle="1" w:styleId="BodyTextRight">
    <w:name w:val="Body Text Right"/>
    <w:basedOn w:val="BodyText"/>
    <w:rsid w:val="00733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E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ED4"/>
    <w:rPr>
      <w:sz w:val="32"/>
    </w:rPr>
  </w:style>
  <w:style w:type="paragraph" w:customStyle="1" w:styleId="HeadingProcedure">
    <w:name w:val="Heading Procedure"/>
    <w:basedOn w:val="HeadingBase"/>
    <w:next w:val="Normal"/>
    <w:rsid w:val="00733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ED4"/>
    <w:pPr>
      <w:spacing w:before="60" w:after="60"/>
    </w:pPr>
  </w:style>
  <w:style w:type="paragraph" w:styleId="ListContinue">
    <w:name w:val="List Continue"/>
    <w:basedOn w:val="List"/>
    <w:rsid w:val="00733ED4"/>
    <w:pPr>
      <w:ind w:firstLine="0"/>
    </w:pPr>
  </w:style>
  <w:style w:type="paragraph" w:customStyle="1" w:styleId="ListNote">
    <w:name w:val="List Note"/>
    <w:basedOn w:val="List"/>
    <w:rsid w:val="00733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ED4"/>
    <w:rPr>
      <w:rFonts w:ascii="Courier New" w:hAnsi="Courier New"/>
    </w:rPr>
  </w:style>
  <w:style w:type="paragraph" w:customStyle="1" w:styleId="NoteBullet">
    <w:name w:val="Note Bullet"/>
    <w:basedOn w:val="Note"/>
    <w:rsid w:val="00733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E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ED4"/>
    <w:rPr>
      <w:b/>
      <w:smallCaps/>
    </w:rPr>
  </w:style>
  <w:style w:type="paragraph" w:customStyle="1" w:styleId="TableListNumber">
    <w:name w:val="Table List Number"/>
    <w:basedOn w:val="ListNumber"/>
    <w:rsid w:val="00733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ED4"/>
    <w:pPr>
      <w:numPr>
        <w:numId w:val="9"/>
      </w:numPr>
    </w:pPr>
  </w:style>
  <w:style w:type="paragraph" w:customStyle="1" w:styleId="ListAlpha2">
    <w:name w:val="List Alpha 2"/>
    <w:basedOn w:val="List2"/>
    <w:rsid w:val="00733ED4"/>
    <w:pPr>
      <w:numPr>
        <w:numId w:val="8"/>
      </w:numPr>
    </w:pPr>
  </w:style>
  <w:style w:type="paragraph" w:styleId="List2">
    <w:name w:val="List 2"/>
    <w:basedOn w:val="BodyText"/>
    <w:rsid w:val="00733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E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E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ED4"/>
    <w:pPr>
      <w:numPr>
        <w:numId w:val="4"/>
      </w:numPr>
    </w:pPr>
  </w:style>
  <w:style w:type="paragraph" w:styleId="ListContinue2">
    <w:name w:val="List Continue 2"/>
    <w:basedOn w:val="List2"/>
    <w:rsid w:val="00733ED4"/>
    <w:pPr>
      <w:ind w:firstLine="0"/>
    </w:pPr>
  </w:style>
  <w:style w:type="paragraph" w:styleId="ListContinue3">
    <w:name w:val="List Continue 3"/>
    <w:basedOn w:val="List3"/>
    <w:rsid w:val="00733ED4"/>
    <w:pPr>
      <w:ind w:left="1021" w:firstLine="0"/>
    </w:pPr>
  </w:style>
  <w:style w:type="paragraph" w:styleId="ListContinue4">
    <w:name w:val="List Continue 4"/>
    <w:basedOn w:val="List4"/>
    <w:rsid w:val="00733ED4"/>
    <w:pPr>
      <w:ind w:firstLine="0"/>
    </w:pPr>
  </w:style>
  <w:style w:type="paragraph" w:styleId="ListContinue5">
    <w:name w:val="List Continue 5"/>
    <w:basedOn w:val="List5"/>
    <w:rsid w:val="00733ED4"/>
    <w:pPr>
      <w:ind w:firstLine="0"/>
    </w:pPr>
  </w:style>
  <w:style w:type="paragraph" w:styleId="ListNumber3">
    <w:name w:val="List Number 3"/>
    <w:basedOn w:val="List3"/>
    <w:rsid w:val="00733ED4"/>
    <w:pPr>
      <w:numPr>
        <w:numId w:val="5"/>
      </w:numPr>
    </w:pPr>
  </w:style>
  <w:style w:type="paragraph" w:styleId="ListNumber4">
    <w:name w:val="List Number 4"/>
    <w:basedOn w:val="List4"/>
    <w:rsid w:val="00733ED4"/>
    <w:pPr>
      <w:numPr>
        <w:numId w:val="6"/>
      </w:numPr>
    </w:pPr>
  </w:style>
  <w:style w:type="paragraph" w:styleId="ListNumber5">
    <w:name w:val="List Number 5"/>
    <w:basedOn w:val="List5"/>
    <w:rsid w:val="00733ED4"/>
    <w:pPr>
      <w:numPr>
        <w:numId w:val="7"/>
      </w:numPr>
    </w:pPr>
  </w:style>
  <w:style w:type="paragraph" w:styleId="BlockText">
    <w:name w:val="Block Text"/>
    <w:basedOn w:val="Normal"/>
    <w:rsid w:val="00733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ED4"/>
    <w:rPr>
      <w:sz w:val="16"/>
      <w:vertAlign w:val="superscript"/>
    </w:rPr>
  </w:style>
  <w:style w:type="character" w:customStyle="1" w:styleId="Symbols">
    <w:name w:val="Symbols"/>
    <w:basedOn w:val="DefaultParagraphFont"/>
    <w:rsid w:val="00733ED4"/>
    <w:rPr>
      <w:rFonts w:ascii="Symbol" w:hAnsi="Symbol"/>
    </w:rPr>
  </w:style>
  <w:style w:type="character" w:customStyle="1" w:styleId="MenuOptions">
    <w:name w:val="Menu Options"/>
    <w:basedOn w:val="DefaultParagraphFont"/>
    <w:rsid w:val="00733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ED4"/>
    <w:rPr>
      <w:b/>
    </w:rPr>
  </w:style>
  <w:style w:type="character" w:customStyle="1" w:styleId="Underlined">
    <w:name w:val="Underlined"/>
    <w:basedOn w:val="DefaultParagraphFont"/>
    <w:rsid w:val="00733ED4"/>
    <w:rPr>
      <w:u w:val="single"/>
    </w:rPr>
  </w:style>
  <w:style w:type="paragraph" w:customStyle="1" w:styleId="TableBodyTextRight">
    <w:name w:val="Table Body Text Right"/>
    <w:basedOn w:val="TableBodyText"/>
    <w:rsid w:val="00733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ED4"/>
    <w:rPr>
      <w:sz w:val="18"/>
    </w:rPr>
  </w:style>
  <w:style w:type="paragraph" w:customStyle="1" w:styleId="BodySmallRight">
    <w:name w:val="Body Small Right"/>
    <w:basedOn w:val="BodyTextRight"/>
    <w:rsid w:val="00733ED4"/>
    <w:rPr>
      <w:sz w:val="18"/>
      <w:szCs w:val="18"/>
    </w:rPr>
  </w:style>
  <w:style w:type="paragraph" w:customStyle="1" w:styleId="MarginEdition">
    <w:name w:val="Margin Edition"/>
    <w:basedOn w:val="MarginNote"/>
    <w:rsid w:val="00733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ED4"/>
    <w:rPr>
      <w:sz w:val="2"/>
      <w:szCs w:val="2"/>
    </w:rPr>
  </w:style>
  <w:style w:type="character" w:customStyle="1" w:styleId="Small">
    <w:name w:val="Small"/>
    <w:basedOn w:val="DefaultParagraphFont"/>
    <w:rsid w:val="00733ED4"/>
    <w:rPr>
      <w:sz w:val="16"/>
    </w:rPr>
  </w:style>
  <w:style w:type="paragraph" w:customStyle="1" w:styleId="WideTable">
    <w:name w:val="Wide Table"/>
    <w:basedOn w:val="Normal"/>
    <w:rsid w:val="00733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ED4"/>
  </w:style>
  <w:style w:type="paragraph" w:styleId="Quote">
    <w:name w:val="Quote"/>
    <w:basedOn w:val="Heading1"/>
    <w:link w:val="QuoteChar"/>
    <w:qFormat/>
    <w:rsid w:val="00733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ED4"/>
    <w:pPr>
      <w:pageBreakBefore/>
    </w:pPr>
  </w:style>
  <w:style w:type="paragraph" w:customStyle="1" w:styleId="Border">
    <w:name w:val="Border"/>
    <w:basedOn w:val="Normal"/>
    <w:qFormat/>
    <w:rsid w:val="00733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ED4"/>
    <w:rPr>
      <w:u w:val="single"/>
    </w:rPr>
  </w:style>
  <w:style w:type="character" w:customStyle="1" w:styleId="BoldandItalics">
    <w:name w:val="Bold and Italics"/>
    <w:qFormat/>
    <w:rsid w:val="00733ED4"/>
    <w:rPr>
      <w:b/>
      <w:i/>
      <w:u w:val="none"/>
    </w:rPr>
  </w:style>
  <w:style w:type="paragraph" w:styleId="BalloonText">
    <w:name w:val="Balloon Text"/>
    <w:basedOn w:val="Normal"/>
    <w:link w:val="BalloonTextChar"/>
    <w:rsid w:val="00733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ED4"/>
    <w:pPr>
      <w:spacing w:before="0" w:after="0"/>
    </w:pPr>
  </w:style>
  <w:style w:type="paragraph" w:customStyle="1" w:styleId="BodyTextBold">
    <w:name w:val="Body Text Bold"/>
    <w:basedOn w:val="BodyText"/>
    <w:qFormat/>
    <w:rsid w:val="00733ED4"/>
    <w:rPr>
      <w:b/>
    </w:rPr>
  </w:style>
  <w:style w:type="character" w:styleId="Hyperlink">
    <w:name w:val="Hyperlink"/>
    <w:basedOn w:val="DefaultParagraphFont"/>
    <w:uiPriority w:val="99"/>
    <w:unhideWhenUsed/>
    <w:rsid w:val="003F2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5205</Characters>
  <Application>Microsoft Office Word</Application>
  <DocSecurity>0</DocSecurity>
  <Lines>130</Lines>
  <Paragraphs>71</Paragraphs>
  <ScaleCrop>false</ScaleCrop>
  <Company>Author-it Software Corporation Ltd.</Company>
  <LinksUpToDate>false</LinksUpToDate>
  <CharactersWithSpaces>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RIIGOV401D Apply, monitor and report on compliance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2021-09-21T07:45:00Z</dcterms:created>
  <dcterms:modified xsi:type="dcterms:W3CDTF">2021-09-21T07:45:00Z</dcterms:modified>
</cp:coreProperties>
</file>